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E1" w:rsidRDefault="00C232E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C232E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819"/>
          <w:tab w:val="right" w:pos="9638"/>
        </w:tabs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Modulo DOMANDA</w:t>
      </w:r>
    </w:p>
    <w:p w:rsidR="00C232E1" w:rsidRDefault="00C232E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hanging="2"/>
        <w:jc w:val="right"/>
        <w:rPr>
          <w:rFonts w:ascii="Arial" w:eastAsia="Arial" w:hAnsi="Arial" w:cs="Arial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ALLA CAMERA DI COMMERCIO DELLA BASILICATA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hanging="2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C.SO XVIII AGOSTO, 34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85100 - POTENZA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hanging="2"/>
        <w:jc w:val="right"/>
        <w:rPr>
          <w:rFonts w:ascii="Arial" w:eastAsia="Arial" w:hAnsi="Arial" w:cs="Arial"/>
          <w:b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 _____________________________________</w:t>
      </w:r>
      <w:r>
        <w:rPr>
          <w:rFonts w:ascii="Arial" w:eastAsia="Arial" w:hAnsi="Arial" w:cs="Arial"/>
          <w:sz w:val="22"/>
          <w:szCs w:val="22"/>
        </w:rPr>
        <w:t>__________________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(cognome) (nome)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_________________________________________________________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 qualità di titolare/legale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appresentante</w:t>
      </w:r>
      <w:r>
        <w:rPr>
          <w:rFonts w:ascii="Arial" w:eastAsia="Arial" w:hAnsi="Arial" w:cs="Arial"/>
          <w:sz w:val="22"/>
          <w:szCs w:val="22"/>
        </w:rPr>
        <w:t xml:space="preserve"> o soggetto delegato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della impresa/società </w:t>
      </w:r>
      <w:r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iscritta al Registro Imprese di ____________</w:t>
      </w:r>
      <w:r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>___________ con il numero partita Iva ________________________ REA n.___________ con sede in via/piazza ____________________________ n. __ città _____________________ provincia 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CAP _____ tel. _________________ fax_________________ email _____________________ indirizzo PEC__________________________________________________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CHIEDE</w:t>
      </w: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l’impresa partecipi alla procedura di assegnazione di voucher di cui al presente Bando.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tale fine il/la sottoscritto/a, consapevole delle responsabilità penali richiamate dall’art. 76 del D.P.R. 445 del 28/12/2000 in caso di dichiarazioni mendaci, formazione e uso di atti falsi o contenenti dati non rispondenti a verità, ai sensi degli artt. 46, 47 e 48 del D.P.R. 445/2000</w:t>
      </w:r>
    </w:p>
    <w:p w:rsidR="00C232E1" w:rsidRDefault="00C232E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DICHIARA</w:t>
      </w: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che l’impresa:</w:t>
      </w:r>
    </w:p>
    <w:p w:rsidR="00C232E1" w:rsidRDefault="00453D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64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□ </w:t>
      </w:r>
      <w:r w:rsidR="009535C7">
        <w:rPr>
          <w:rFonts w:ascii="Arial" w:eastAsia="Arial" w:hAnsi="Arial" w:cs="Arial"/>
          <w:color w:val="000000"/>
          <w:sz w:val="22"/>
          <w:szCs w:val="22"/>
        </w:rPr>
        <w:t xml:space="preserve">è </w:t>
      </w:r>
      <w:r w:rsidR="009535C7" w:rsidRPr="00453D48">
        <w:rPr>
          <w:rFonts w:ascii="Arial" w:eastAsia="Arial" w:hAnsi="Arial" w:cs="Arial"/>
          <w:b/>
          <w:color w:val="000000"/>
          <w:sz w:val="22"/>
          <w:szCs w:val="22"/>
        </w:rPr>
        <w:t>micro o piccola</w:t>
      </w:r>
      <w:r w:rsidR="009535C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impresa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9535C7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ppure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□</w:t>
      </w:r>
      <w:r w:rsidR="009535C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535C7" w:rsidRPr="00453D48">
        <w:rPr>
          <w:rFonts w:ascii="Arial" w:eastAsia="Arial" w:hAnsi="Arial" w:cs="Arial"/>
          <w:b/>
          <w:color w:val="000000"/>
          <w:sz w:val="22"/>
          <w:szCs w:val="22"/>
        </w:rPr>
        <w:t>media</w:t>
      </w:r>
      <w:r w:rsidR="009535C7"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 w:rsidR="009535C7">
        <w:rPr>
          <w:rFonts w:ascii="Arial" w:eastAsia="Arial" w:hAnsi="Arial" w:cs="Arial"/>
          <w:color w:val="000000"/>
          <w:sz w:val="22"/>
          <w:szCs w:val="22"/>
        </w:rPr>
        <w:t>come definita nell’Allegato I al Regolamento n. 651/2014/UE della Commissione europea;</w:t>
      </w:r>
    </w:p>
    <w:p w:rsidR="00C232E1" w:rsidRDefault="009535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200" w:line="264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attiva e in regola con l’iscrizione al Registro delle Imprese nella circoscrizione territoriale della Camera di commercio della Basilicata;</w:t>
      </w:r>
    </w:p>
    <w:p w:rsidR="00C232E1" w:rsidRDefault="009535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200" w:line="264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lastRenderedPageBreak/>
        <w:t>è in regola con il pagamento del diritto annuale e non ha pendenze in corso con la Camera di commercio della Basilicata e/o con la sua Azienda speciale ASSET Basilicata;</w:t>
      </w:r>
    </w:p>
    <w:p w:rsidR="00C232E1" w:rsidRDefault="009535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before="38" w:after="200" w:line="264" w:lineRule="auto"/>
        <w:ind w:left="0" w:right="118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è in regola con gli obblighi in materia di assicurazione da </w:t>
      </w:r>
      <w:r>
        <w:rPr>
          <w:rFonts w:ascii="Arial" w:eastAsia="Arial" w:hAnsi="Arial" w:cs="Arial"/>
          <w:b/>
          <w:sz w:val="22"/>
          <w:szCs w:val="22"/>
        </w:rPr>
        <w:t>danni catastrofali</w:t>
      </w:r>
      <w:r>
        <w:rPr>
          <w:rFonts w:ascii="Arial" w:eastAsia="Arial" w:hAnsi="Arial" w:cs="Arial"/>
          <w:sz w:val="22"/>
          <w:szCs w:val="22"/>
        </w:rPr>
        <w:t xml:space="preserve"> di cui all’art. 1, comma 101 e seguenti della legge 30 dicembre 2023 n. 213 (Legge Bilancio 2024) secondo le tempistiche di entrata in vigore degli stessi (art.1, c.1, D.L. n. 39/2025 convertito in Legge 27 maggio 2025, n. 78);</w:t>
      </w:r>
    </w:p>
    <w:p w:rsidR="00C232E1" w:rsidRDefault="009535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567"/>
        </w:tabs>
        <w:spacing w:after="200" w:line="264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in stato di fallimento, liquidazione (anche volontaria), amministrazione controllata, concordato preventivo o in qualsiasi altra situazione equivalente secondo la vigente normativa; </w:t>
      </w:r>
    </w:p>
    <w:p w:rsidR="00C232E1" w:rsidRDefault="009535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ha assolto gli obblighi contributivi, previdenziali e assistenziali (DURC regolare) e siano in regola con le normative sulla Salute e Sicurezza sul lavoro di cui al D.lgs. 9 aprile 2008 n. 81 e ss. mm. e ii, e in particolare che: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ha n. </w:t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dipendenti a cui è applicato il seguente CCNL ______________________, matricola azienda INPS __________________ sede competente _________________ posizione INAIL ________________________ sede competente _________________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ab/>
        <w:t>non ha dipendenti e che il titolare/professionista/soci è/sono iscritto/i alla seguente cassa di previdenza/forma assicurativa obbligatoria ____________________________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n. iscrizione/matricola ______</w:t>
      </w:r>
      <w:r>
        <w:rPr>
          <w:rFonts w:ascii="Arial" w:eastAsia="Arial" w:hAnsi="Arial" w:cs="Arial"/>
          <w:sz w:val="22"/>
          <w:szCs w:val="22"/>
        </w:rPr>
        <w:t>______</w:t>
      </w:r>
      <w:r>
        <w:rPr>
          <w:rFonts w:ascii="Arial" w:eastAsia="Arial" w:hAnsi="Arial" w:cs="Arial"/>
          <w:color w:val="000000"/>
          <w:sz w:val="22"/>
          <w:szCs w:val="22"/>
        </w:rPr>
        <w:t>______ sede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competente ______________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posizione INAIL 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sede competente ___________________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ovvero che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bookmarkStart w:id="1" w:name="_Hlk209084996"/>
      <w:r>
        <w:rPr>
          <w:rFonts w:ascii="Arial" w:eastAsia="Arial" w:hAnsi="Arial" w:cs="Arial"/>
          <w:color w:val="000000"/>
          <w:sz w:val="22"/>
          <w:szCs w:val="22"/>
        </w:rPr>
        <w:t>□</w:t>
      </w:r>
      <w:bookmarkEnd w:id="1"/>
      <w:r>
        <w:rPr>
          <w:rFonts w:ascii="Arial" w:eastAsia="Arial" w:hAnsi="Arial" w:cs="Arial"/>
          <w:color w:val="000000"/>
          <w:sz w:val="22"/>
          <w:szCs w:val="22"/>
        </w:rPr>
        <w:tab/>
        <w:t>non è tenuta all’iscrizione ad alcuna forma assicurativa obbligatoria e all’INAIL;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 xml:space="preserve">è iscritta all’INAIL e non è tenuta all’iscrizione all’INPS, da attestare mediante un’autocertificazione, integrata dalle eventuali posizioni dei soci iscritti all’Istituto. </w:t>
      </w:r>
    </w:p>
    <w:p w:rsidR="00C232E1" w:rsidRDefault="009535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firstLine="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non ha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oppure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ha</w:t>
      </w:r>
      <w:r>
        <w:rPr>
          <w:rFonts w:ascii="Arial" w:eastAsia="Arial" w:hAnsi="Arial" w:cs="Arial"/>
          <w:color w:val="000000"/>
          <w:sz w:val="22"/>
          <w:szCs w:val="22"/>
        </w:rPr>
        <w:t>, forniture in essere con la Camera di commercio di Basilicata e/o con la sua Azienda speciale ASSET Basilicata, ai sensi dell’art.</w:t>
      </w:r>
      <w:bookmarkStart w:id="2" w:name="_GoBack"/>
      <w:bookmarkEnd w:id="2"/>
      <w:r>
        <w:rPr>
          <w:rFonts w:ascii="Arial" w:eastAsia="Arial" w:hAnsi="Arial" w:cs="Arial"/>
          <w:color w:val="000000"/>
          <w:sz w:val="22"/>
          <w:szCs w:val="22"/>
        </w:rPr>
        <w:t>4, comma 6, del D.L. 95 del 6 luglio 2012, convertito nella L. 7 agosto 2012, n. 135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:rsidR="00C232E1" w:rsidRDefault="009535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 ha rapporti di coniugio, parentela o affinità, entro il secondo grado, con i dirigenti e/o i dipendenti della Camera e di Asset Basilicata, che gestiscono la presente procedura;</w:t>
      </w:r>
    </w:p>
    <w:p w:rsidR="00C232E1" w:rsidRDefault="009535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è iscritta</w:t>
      </w:r>
      <w:r>
        <w:rPr>
          <w:rFonts w:ascii="Arial" w:eastAsia="Arial" w:hAnsi="Arial" w:cs="Arial"/>
          <w:color w:val="000000"/>
          <w:sz w:val="22"/>
          <w:szCs w:val="22"/>
        </w:rPr>
        <w:tab/>
        <w:t>oppure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non è iscritta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nell’Elenco delle imprese con rating di legalità con il punteggio di ....... (Decreto Interministeriale 20 febbraio 2014, n. 57 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Regolamenti attuativi dell'Autorità Garante della Concorrenza e del Mercato);</w:t>
      </w:r>
    </w:p>
    <w:p w:rsidR="00C232E1" w:rsidRDefault="009535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è </w:t>
      </w:r>
      <w:r>
        <w:rPr>
          <w:rFonts w:ascii="Arial" w:eastAsia="Arial" w:hAnsi="Arial" w:cs="Arial"/>
          <w:color w:val="000000"/>
          <w:sz w:val="22"/>
          <w:szCs w:val="22"/>
        </w:rPr>
        <w:tab/>
        <w:t>oppure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non è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possesso di Certificazione di Genere, in corso di validità al momento della domanda e fino alla erogazione del voucher, o impresa a guida femminile, come da art.3, comma 6 del Bando di riferimento;</w:t>
      </w:r>
    </w:p>
    <w:p w:rsidR="00C232E1" w:rsidRDefault="009535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in regola con la disciplina antiriciclaggio di cui al D. Lgs. 21 novembre 2007, n. 231, ove applicabile;</w:t>
      </w:r>
    </w:p>
    <w:p w:rsidR="00C232E1" w:rsidRDefault="009535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non si trova in rapporto di controllo/collegamento ai sensi dell’art. 2359 C.c. con i propri fornitori di beni/servizi i cui costi siano oggetto di contributo, né ha con essi assetti proprietari sostanzialmente coincidenti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:rsidR="00C232E1" w:rsidRDefault="009535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284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relativamente alle stesse spese ammissibili:</w:t>
      </w: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spacing w:after="120"/>
        <w:ind w:lef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ab/>
        <w:t>non ha beneficiato di altri aiuti di Stato</w:t>
      </w:r>
    </w:p>
    <w:p w:rsidR="00C232E1" w:rsidRDefault="009535C7">
      <w:pPr>
        <w:spacing w:after="120"/>
        <w:ind w:left="849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ab/>
        <w:t>ha beneficiato dei seguenti aiuti di Stato:</w:t>
      </w:r>
    </w:p>
    <w:p w:rsidR="00C232E1" w:rsidRDefault="00C232E1">
      <w:pPr>
        <w:spacing w:after="120"/>
        <w:ind w:left="849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0"/>
        <w:tblpPr w:leftFromText="180" w:rightFromText="180" w:topFromText="180" w:bottomFromText="180" w:vertAnchor="text" w:tblpX="99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98"/>
        <w:gridCol w:w="1509"/>
        <w:gridCol w:w="1509"/>
        <w:gridCol w:w="1437"/>
        <w:gridCol w:w="1276"/>
      </w:tblGrid>
      <w:tr w:rsidR="00C232E1">
        <w:trPr>
          <w:trHeight w:val="586"/>
        </w:trPr>
        <w:tc>
          <w:tcPr>
            <w:tcW w:w="1413" w:type="dxa"/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ENTE CONCEDENTE</w:t>
            </w:r>
          </w:p>
        </w:tc>
        <w:tc>
          <w:tcPr>
            <w:tcW w:w="1498" w:type="dxa"/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NORMATIVA DI RIFERIMENTO NAZIONALE</w:t>
            </w:r>
          </w:p>
        </w:tc>
        <w:tc>
          <w:tcPr>
            <w:tcW w:w="1509" w:type="dxa"/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PROVVEDIMENTO DI CONCESSIONE</w:t>
            </w:r>
          </w:p>
        </w:tc>
        <w:tc>
          <w:tcPr>
            <w:tcW w:w="1509" w:type="dxa"/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ESTREMI DEL REGOLAMENTO UE DI ESENZIONE</w:t>
            </w:r>
            <w:r>
              <w:rPr>
                <w:rFonts w:ascii="Arial" w:eastAsia="Arial" w:hAnsi="Arial" w:cs="Arial"/>
                <w:b/>
                <w:smallCaps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437" w:type="dxa"/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INTENSITA’ DI AIUTO APPLICATA</w:t>
            </w:r>
          </w:p>
        </w:tc>
        <w:tc>
          <w:tcPr>
            <w:tcW w:w="1276" w:type="dxa"/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IMPORTO IMPUTATO ALLA VOCE DI COSTO</w:t>
            </w:r>
          </w:p>
        </w:tc>
      </w:tr>
      <w:tr w:rsidR="00C232E1">
        <w:tc>
          <w:tcPr>
            <w:tcW w:w="1413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98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37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232E1">
        <w:tc>
          <w:tcPr>
            <w:tcW w:w="1413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98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37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232E1">
        <w:tc>
          <w:tcPr>
            <w:tcW w:w="1413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98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37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232E1">
        <w:tc>
          <w:tcPr>
            <w:tcW w:w="1413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98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37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232E1">
        <w:tc>
          <w:tcPr>
            <w:tcW w:w="1413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98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37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232E1">
        <w:tc>
          <w:tcPr>
            <w:tcW w:w="1413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98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37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32E1" w:rsidRDefault="00C232E1">
            <w:pPr>
              <w:widowControl w:val="0"/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232E1" w:rsidRDefault="009535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2et92p0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t xml:space="preserve">di essere a conoscenza del fatto che il voucher di cui al presente bando è concesso in regime “de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minimis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” ai sensi del Regolamento (UE) n. 2023/2831 del 13/12/2023 oppure 1408/2013 oppure 717/2014.</w:t>
      </w:r>
    </w:p>
    <w:p w:rsidR="00C232E1" w:rsidRDefault="009535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 fine pertanto dichiara: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>A)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che l’esercizio finanziario (anno fiscale) dell’impresa inizia il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 e termina il ________;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56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>B)</w:t>
      </w:r>
      <w:r>
        <w:rPr>
          <w:rFonts w:ascii="Arial" w:eastAsia="Arial" w:hAnsi="Arial" w:cs="Arial"/>
          <w:color w:val="000000"/>
          <w:sz w:val="22"/>
          <w:szCs w:val="22"/>
        </w:rPr>
        <w:tab/>
        <w:t>che l’impresa: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color w:val="000000"/>
          <w:sz w:val="22"/>
          <w:szCs w:val="22"/>
        </w:rPr>
        <w:t>□ non è controllata né controlla, direttamente o indirettamente, altre imprese</w:t>
      </w:r>
    </w:p>
    <w:p w:rsidR="00C232E1" w:rsidRDefault="00C232E1">
      <w:pPr>
        <w:ind w:left="1132" w:hanging="2"/>
        <w:rPr>
          <w:rFonts w:ascii="Arial" w:eastAsia="Arial" w:hAnsi="Arial" w:cs="Arial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controlla, anche indirettamente, le imprese seguenti aventi sede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in Italia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Ragione sociale e dati anagrafici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è controllata, anche indirettamente, dalle imprese seguenti aventi sede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in Italia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Ragione sociale e dati anagrafici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>C)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che l’impresa, nell’esercizio in corso e nei due esercizi precedenti,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non è stata interessata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 fusioni, acquisizioni o scissioni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è stata interessata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 fusioni, acquisizioni o scissioni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left="1132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) che l’impresa, nell’esercizio in corso e nei due esercizi precedenti, tenuto conto di eventuali fusioni, acquisizioni o scissioni: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left="42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ind w:left="42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non ha beneficiato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agevolazioni pubbliche in regime «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de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minimis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»</w:t>
      </w:r>
    </w:p>
    <w:p w:rsidR="00C232E1" w:rsidRDefault="00C232E1">
      <w:pPr>
        <w:pBdr>
          <w:top w:val="nil"/>
          <w:left w:val="nil"/>
          <w:bottom w:val="nil"/>
          <w:right w:val="nil"/>
          <w:between w:val="nil"/>
        </w:pBdr>
        <w:ind w:left="424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oppure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ha beneficiato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delle agevolazioni pubbliche in regime «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de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minimis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» indicate di seguito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5" w:name="_heading=h.z3gw769pricn" w:colFirst="0" w:colLast="0"/>
      <w:bookmarkEnd w:id="5"/>
    </w:p>
    <w:tbl>
      <w:tblPr>
        <w:tblStyle w:val="af1"/>
        <w:tblW w:w="9753" w:type="dxa"/>
        <w:tblInd w:w="-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447"/>
        <w:gridCol w:w="1672"/>
        <w:gridCol w:w="1148"/>
        <w:gridCol w:w="1545"/>
        <w:gridCol w:w="1260"/>
        <w:gridCol w:w="16"/>
        <w:gridCol w:w="992"/>
      </w:tblGrid>
      <w:tr w:rsidR="00C232E1">
        <w:trPr>
          <w:cantSplit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IMPRESA BENEFICIARIA</w:t>
            </w:r>
            <w:r>
              <w:rPr>
                <w:rFonts w:ascii="Arial" w:eastAsia="Arial" w:hAnsi="Arial" w:cs="Arial"/>
                <w:b/>
                <w:smallCap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REGOLAMENTO COMUNITARIO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9535C7">
            <w:pPr>
              <w:ind w:right="-150"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DATA</w:t>
            </w:r>
          </w:p>
          <w:p w:rsidR="00C232E1" w:rsidRDefault="009535C7">
            <w:pPr>
              <w:ind w:right="-150"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bookmarkStart w:id="6" w:name="_heading=h.86noy58bl6tg" w:colFirst="0" w:colLast="0"/>
            <w:bookmarkEnd w:id="6"/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CONCESSIONE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NORMATIVA DI RIFERIMENTO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ENTE CONCEDENTE</w:t>
            </w:r>
            <w:r>
              <w:rPr>
                <w:rFonts w:ascii="Arial" w:eastAsia="Arial" w:hAnsi="Arial" w:cs="Arial"/>
                <w:b/>
                <w:smallCap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 xml:space="preserve">IMPORTO DELL’AIUTO </w:t>
            </w:r>
          </w:p>
          <w:p w:rsidR="00C232E1" w:rsidRDefault="009535C7">
            <w:pPr>
              <w:ind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(IN EQUIVALENTE SOVVENZIONE LORDO)</w:t>
            </w:r>
          </w:p>
        </w:tc>
      </w:tr>
      <w:tr w:rsidR="00C232E1">
        <w:trPr>
          <w:cantSplit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concesso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E1" w:rsidRDefault="009535C7">
            <w:pPr>
              <w:ind w:hanging="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erogato a saldo</w:t>
            </w:r>
            <w:r>
              <w:rPr>
                <w:rFonts w:ascii="Arial" w:eastAsia="Arial" w:hAnsi="Arial" w:cs="Arial"/>
                <w:b/>
                <w:smallCaps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C232E1">
        <w:trPr>
          <w:cantSplit/>
          <w:trHeight w:val="30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232E1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232E1">
        <w:trPr>
          <w:trHeight w:val="18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232E1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232E1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232E1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232E1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232E1">
        <w:tc>
          <w:tcPr>
            <w:tcW w:w="7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95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E1" w:rsidRDefault="00C2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C232E1" w:rsidRDefault="00C232E1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C232E1" w:rsidRDefault="009535C7">
      <w:pPr>
        <w:spacing w:line="264" w:lineRule="auto"/>
        <w:ind w:right="14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z w:val="22"/>
          <w:szCs w:val="22"/>
        </w:rPr>
        <w:t>. di avere ottenuto l’informativa sul trattamento dei dati personali da parte del Titolare della presente procedura che il/la sottoscritto ha letto e compreso.</w:t>
      </w:r>
    </w:p>
    <w:p w:rsidR="00C232E1" w:rsidRDefault="00C232E1">
      <w:pPr>
        <w:spacing w:line="264" w:lineRule="auto"/>
        <w:ind w:right="140" w:hanging="2"/>
        <w:jc w:val="both"/>
        <w:rPr>
          <w:rFonts w:ascii="Arial" w:eastAsia="Arial" w:hAnsi="Arial" w:cs="Arial"/>
          <w:sz w:val="22"/>
          <w:szCs w:val="22"/>
        </w:rPr>
      </w:pP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ALLEGA</w:t>
      </w:r>
    </w:p>
    <w:p w:rsidR="00C232E1" w:rsidRDefault="00C232E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:rsidR="00C232E1" w:rsidRDefault="0095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200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Eventuale Modulo Procura dell’intermediario abilitato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(art. 10, comma 3);</w:t>
      </w:r>
    </w:p>
    <w:p w:rsidR="00C232E1" w:rsidRDefault="0095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200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Modulo Progetto;</w:t>
      </w:r>
    </w:p>
    <w:p w:rsidR="00C232E1" w:rsidRDefault="0095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200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Preventivi di spesa (art. 10, comma 6);</w:t>
      </w:r>
    </w:p>
    <w:p w:rsidR="00C232E1" w:rsidRDefault="009535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Laddove applicabile, Modello Autodichiarazione Ulteriori Fornitori - di cui alla lettera a) Scheda Allegata - Bando Voucher </w:t>
      </w:r>
      <w:r>
        <w:rPr>
          <w:rFonts w:ascii="Arial" w:eastAsia="Arial" w:hAnsi="Arial" w:cs="Arial"/>
          <w:sz w:val="22"/>
          <w:szCs w:val="22"/>
        </w:rPr>
        <w:t>Digitali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:rsidR="00C232E1" w:rsidRDefault="00C232E1">
      <w:pPr>
        <w:ind w:hanging="2"/>
        <w:rPr>
          <w:rFonts w:ascii="Arial" w:eastAsia="Arial" w:hAnsi="Arial" w:cs="Arial"/>
          <w:sz w:val="22"/>
          <w:szCs w:val="22"/>
        </w:rPr>
      </w:pP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SI IMPEGNA</w:t>
      </w:r>
    </w:p>
    <w:p w:rsidR="00C232E1" w:rsidRDefault="00C232E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 caso di concessione del contributo:</w:t>
      </w: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a comunicare tempestivamente all’indirizzo mail </w:t>
      </w: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cameradicommercio@pec.basilicata.camcom.it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ogni eventuale variazione relativamente alle informazioni e ai dati contenuti nella presente domanda e nella documentazione allegata, che ne costituisce parte integrante;</w:t>
      </w: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a comunicare eventualmente la revoca o sospensione del rating di legalità, con riferimento al periodo intercorrente tra la domanda e l’erogazione del contributo;</w:t>
      </w: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64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ad inviare la documentazione finale relativa alle spese sostenute, secondo le modalità previste dall’art. 13 del Bando (Rendicontazione e liquidazione del voucher), in caso di concessione del contributo.</w:t>
      </w:r>
    </w:p>
    <w:p w:rsidR="00C232E1" w:rsidRDefault="00C232E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64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C232E1" w:rsidRDefault="00C232E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07" w:hanging="2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Firma digitale </w:t>
      </w:r>
      <w:r>
        <w:rPr>
          <w:rFonts w:ascii="Arial" w:eastAsia="Arial" w:hAnsi="Arial" w:cs="Arial"/>
          <w:b/>
          <w:sz w:val="22"/>
          <w:szCs w:val="22"/>
        </w:rPr>
        <w:t>del richiedente</w:t>
      </w:r>
    </w:p>
    <w:sectPr w:rsidR="00C23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260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C73" w:rsidRDefault="00B72C73">
      <w:r>
        <w:separator/>
      </w:r>
    </w:p>
  </w:endnote>
  <w:endnote w:type="continuationSeparator" w:id="0">
    <w:p w:rsidR="00B72C73" w:rsidRDefault="00B7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2E1" w:rsidRDefault="009535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232E1" w:rsidRDefault="00C232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2E1" w:rsidRDefault="009535C7">
    <w:pPr>
      <w:numPr>
        <w:ilvl w:val="0"/>
        <w:numId w:val="3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rFonts w:ascii="Arial" w:eastAsia="Arial" w:hAnsi="Arial" w:cs="Arial"/>
        <w:b/>
        <w:color w:val="000000"/>
        <w:sz w:val="14"/>
        <w:szCs w:val="14"/>
      </w:rPr>
      <w:t>Modulo di domanda</w:t>
    </w:r>
    <w:r>
      <w:rPr>
        <w:color w:val="000000"/>
        <w:sz w:val="20"/>
        <w:szCs w:val="20"/>
      </w:rPr>
      <w:t xml:space="preserve">                                                                                                     </w:t>
    </w: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453D48">
      <w:rPr>
        <w:rFonts w:ascii="Arial" w:eastAsia="Arial" w:hAnsi="Arial" w:cs="Arial"/>
        <w:noProof/>
        <w:color w:val="000000"/>
        <w:sz w:val="14"/>
        <w:szCs w:val="14"/>
      </w:rPr>
      <w:t>1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  <w:p w:rsidR="00C232E1" w:rsidRDefault="00C232E1">
    <w:pPr>
      <w:tabs>
        <w:tab w:val="center" w:pos="4819"/>
        <w:tab w:val="right" w:pos="9638"/>
      </w:tabs>
      <w:ind w:hanging="2"/>
      <w:jc w:val="both"/>
      <w:rPr>
        <w:rFonts w:ascii="Carlito" w:eastAsia="Carlito" w:hAnsi="Carlito" w:cs="Carlito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2E1" w:rsidRDefault="00C232E1">
    <w:pPr>
      <w:widowControl w:val="0"/>
      <w:tabs>
        <w:tab w:val="left" w:pos="284"/>
      </w:tabs>
      <w:ind w:hanging="2"/>
      <w:rPr>
        <w:color w:val="000000"/>
      </w:rPr>
    </w:pPr>
    <w:bookmarkStart w:id="7" w:name="_heading=h.3znysh7" w:colFirst="0" w:colLast="0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C73" w:rsidRDefault="00B72C73">
      <w:r>
        <w:separator/>
      </w:r>
    </w:p>
  </w:footnote>
  <w:footnote w:type="continuationSeparator" w:id="0">
    <w:p w:rsidR="00B72C73" w:rsidRDefault="00B72C73">
      <w:r>
        <w:continuationSeparator/>
      </w:r>
    </w:p>
  </w:footnote>
  <w:footnote w:id="1"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La categoria delle micro, piccole e medie imprese (MPMI) è costituita da imprese che occupano meno di 250 persone (calcolate in unità lavorative/anno - ULA), il cui fatturato annuo (voce A1 del conto economico) non supera i 50 milioni di euro e/o il cui totale di bilancio annuo non supera i 43 milioni di</w:t>
      </w:r>
      <w:r>
        <w:rPr>
          <w:rFonts w:ascii="Arial" w:eastAsia="Arial" w:hAnsi="Arial" w:cs="Arial"/>
          <w:i/>
          <w:color w:val="FF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EUR. All'interno della categoria delle PMI, si definisce: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- "piccola impresa" un'impresa che occupa meno di 50 persone e che realizza un fatturato annuo e/o un totale di bilancio annuo non superiori a 10 milioni di euro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- "microimpresa" un'impresa che occupa meno di 10 persone e che realizza un fatturato annuo e/o un totale di bilancio annuo non superiori a 2 milioni di EUR.</w:t>
      </w:r>
    </w:p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18"/>
          <w:u w:val="single"/>
        </w:rPr>
        <w:t>Si sottolinea che il calcolo degli effettivi e degli importi finanziari deve avvenire sulla base dell’insieme dei criteri previsti nella definizione di PMI. In particolare, se la richiedente NON è un'impresa autonoma, si dovrà tener conto anche dei dati delle imprese associate o collegate rilevanti, in applicazione degli articoli 3 e 6 della stessa definizione</w:t>
      </w:r>
      <w:r>
        <w:rPr>
          <w:rFonts w:ascii="Arial" w:eastAsia="Arial" w:hAnsi="Arial" w:cs="Arial"/>
          <w:i/>
          <w:sz w:val="20"/>
          <w:szCs w:val="20"/>
        </w:rPr>
        <w:t>.</w:t>
      </w:r>
    </w:p>
  </w:footnote>
  <w:footnote w:id="2">
    <w:p w:rsidR="00C232E1" w:rsidRDefault="009535C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Sono escluse da tale fattispecie le imprese individuali, le fondazioni istituite con lo scopo di promuovere lo sviluppo tecnologico e l’alta formazione tecnologica e gli enti e le 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coordinamento o di supporto degli enti territoriali e locali. </w:t>
      </w:r>
    </w:p>
  </w:footnote>
  <w:footnote w:id="3"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Per assetti proprietari sostanzialmente coincidenti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</w:t>
      </w:r>
      <w:r>
        <w:rPr>
          <w:rFonts w:ascii="Arial" w:eastAsia="Arial" w:hAnsi="Arial" w:cs="Arial"/>
          <w:i/>
          <w:sz w:val="18"/>
          <w:szCs w:val="18"/>
        </w:rPr>
        <w:t>anch'essi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comuni (quali legami di coniugio, di parentela, di affinità), che di fatto si traducano in condotte costanti e coordinate di collaborazione e di comune agire sul mercato.</w:t>
      </w:r>
    </w:p>
  </w:footnote>
  <w:footnote w:id="4">
    <w:p w:rsidR="00C232E1" w:rsidRDefault="009535C7">
      <w:pPr>
        <w:widowControl w:val="0"/>
        <w:ind w:hanging="2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i/>
          <w:sz w:val="18"/>
          <w:szCs w:val="18"/>
        </w:rPr>
        <w:t xml:space="preserve">  Oppure della Decisione della Commissione che ha approvato l’aiuto notificato.</w:t>
      </w:r>
    </w:p>
    <w:p w:rsidR="00C232E1" w:rsidRDefault="00C232E1">
      <w:pPr>
        <w:widowControl w:val="0"/>
        <w:ind w:hanging="2"/>
        <w:jc w:val="both"/>
        <w:rPr>
          <w:i/>
          <w:sz w:val="18"/>
          <w:szCs w:val="18"/>
        </w:rPr>
      </w:pPr>
    </w:p>
  </w:footnote>
  <w:footnote w:id="5"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Qualora esistano rapporti di collegamento con altre imprese, il legale rappresentante dell’impresa dovrà farsi rilasciare da queste idonee dichiarazioni attestanti gli aiuti in regime «de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minimis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» ottenuti nel triennio di riferimento da ciascuna di esse. Tali dichiarazioni dovranno essere rese secondo il “Modello di dichiarazione de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minimis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impresa controllata/controllante” accluso alla presente domanda.</w:t>
      </w:r>
    </w:p>
  </w:footnote>
  <w:footnote w:id="6"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i/>
          <w:color w:val="000000"/>
          <w:sz w:val="18"/>
          <w:szCs w:val="18"/>
        </w:rPr>
        <w:t>Si tratterà di un’impresa diversa dalla dichiarante nel caso gli aiuti si riferiscano ad imprese interessate, con la dichiarante, da operazioni di fusione o acquisizione.</w:t>
      </w:r>
    </w:p>
  </w:footnote>
  <w:footnote w:id="7">
    <w:p w:rsidR="00C232E1" w:rsidRDefault="009535C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i/>
          <w:color w:val="000000"/>
          <w:sz w:val="18"/>
          <w:szCs w:val="18"/>
        </w:rPr>
        <w:t>Ente che ha effettuato la concessione o di riferimento (Stato, Regione, Provincia, Comune, C.C.I.A.A., Inps. Inail, Agenzia delle Entrate, ecc.).</w:t>
      </w:r>
    </w:p>
  </w:footnote>
  <w:footnote w:id="8">
    <w:p w:rsidR="00C232E1" w:rsidRDefault="009535C7">
      <w:pPr>
        <w:tabs>
          <w:tab w:val="center" w:pos="4819"/>
          <w:tab w:val="right" w:pos="9638"/>
        </w:tabs>
        <w:ind w:hanging="2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i/>
          <w:sz w:val="18"/>
          <w:szCs w:val="18"/>
        </w:rPr>
        <w:t xml:space="preserve"> Questo importo potrà differire da quello inserito nella colonna “concesso” in due circostanze:</w:t>
      </w:r>
    </w:p>
    <w:p w:rsidR="00C232E1" w:rsidRDefault="009535C7">
      <w:pPr>
        <w:tabs>
          <w:tab w:val="center" w:pos="4819"/>
          <w:tab w:val="right" w:pos="9638"/>
        </w:tabs>
        <w:ind w:hanging="2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a) quando l’erogato a saldo sia stato ridotto rispetto alla concessione originaria;</w:t>
      </w:r>
    </w:p>
    <w:p w:rsidR="00C232E1" w:rsidRDefault="009535C7">
      <w:pPr>
        <w:tabs>
          <w:tab w:val="center" w:pos="4819"/>
          <w:tab w:val="right" w:pos="9638"/>
        </w:tabs>
        <w:ind w:hanging="2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b) quando l’impresa sia stata oggetto di scissione ed una parte dell’aiuto sia imputabile all’impresa scissa.</w:t>
      </w:r>
    </w:p>
    <w:p w:rsidR="00C232E1" w:rsidRDefault="00C232E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2E1" w:rsidRDefault="00C232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2E1" w:rsidRDefault="009535C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  <w:sz w:val="20"/>
        <w:szCs w:val="20"/>
      </w:rPr>
    </w:pPr>
    <w:r>
      <w:rPr>
        <w:noProof/>
      </w:rPr>
      <w:drawing>
        <wp:inline distT="0" distB="0" distL="0" distR="0">
          <wp:extent cx="5400040" cy="110680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10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2E1" w:rsidRDefault="009535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  <w:r>
      <w:rPr>
        <w:noProof/>
        <w:color w:val="000000"/>
      </w:rPr>
      <w:drawing>
        <wp:inline distT="0" distB="0" distL="0" distR="0">
          <wp:extent cx="5400040" cy="1106805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10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055D"/>
    <w:multiLevelType w:val="multilevel"/>
    <w:tmpl w:val="BF06D952"/>
    <w:lvl w:ilvl="0">
      <w:start w:val="1"/>
      <w:numFmt w:val="decimal"/>
      <w:lvlText w:val="%1."/>
      <w:lvlJc w:val="left"/>
      <w:pPr>
        <w:ind w:left="144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1" w:hanging="425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vertAlign w:val="baseline"/>
      </w:rPr>
    </w:lvl>
  </w:abstractNum>
  <w:abstractNum w:abstractNumId="1" w15:restartNumberingAfterBreak="0">
    <w:nsid w:val="2B1871D4"/>
    <w:multiLevelType w:val="multilevel"/>
    <w:tmpl w:val="641CF570"/>
    <w:lvl w:ilvl="0">
      <w:start w:val="1"/>
      <w:numFmt w:val="decimal"/>
      <w:lvlText w:val="%1."/>
      <w:lvlJc w:val="left"/>
      <w:pPr>
        <w:ind w:left="718" w:hanging="360"/>
      </w:pPr>
      <w:rPr>
        <w:rFonts w:ascii="Arial" w:eastAsia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DF44CBF"/>
    <w:multiLevelType w:val="multilevel"/>
    <w:tmpl w:val="E772B81A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E1"/>
    <w:rsid w:val="00453D48"/>
    <w:rsid w:val="005A12B9"/>
    <w:rsid w:val="009535C7"/>
    <w:rsid w:val="00AD292B"/>
    <w:rsid w:val="00B72C73"/>
    <w:rsid w:val="00C2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B66A"/>
  <w15:docId w15:val="{BD01F06D-CA14-4AF8-9CBB-92D5FACE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Corpotesto">
    <w:name w:val="Body Text"/>
    <w:pPr>
      <w:jc w:val="both"/>
    </w:pPr>
    <w:rPr>
      <w:sz w:val="23"/>
      <w:szCs w:val="23"/>
    </w:rPr>
  </w:style>
  <w:style w:type="paragraph" w:styleId="Corpodeltesto2">
    <w:name w:val="Body Text 2"/>
    <w:pPr>
      <w:jc w:val="center"/>
    </w:p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hAnsi="Cambria"/>
      <w:b/>
      <w:w w:val="100"/>
      <w:kern w:val="32"/>
      <w:position w:val="-1"/>
      <w:sz w:val="32"/>
      <w:effect w:val="none"/>
      <w:vertAlign w:val="baseline"/>
      <w:cs w:val="0"/>
      <w:em w:val="none"/>
    </w:rPr>
  </w:style>
  <w:style w:type="paragraph" w:styleId="Testonotaapidipagina">
    <w:name w:val="footnote text"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rPr>
      <w:rFonts w:ascii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pPr>
      <w:jc w:val="both"/>
    </w:pPr>
    <w:rPr>
      <w:bCs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uiPriority w:val="1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qFormat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qFormat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3">
    <w:name w:val="Griglia tabella3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qFormat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dichiusura">
    <w:name w:val="endnote text"/>
    <w:qFormat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Corpotesto1">
    <w:name w:val="Corpo testo1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8"/>
    </w:rPr>
  </w:style>
  <w:style w:type="paragraph" w:styleId="Rientrocorpodeltesto">
    <w:name w:val="Body Text Indent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D1A"/>
    <w:rPr>
      <w:position w:val="-1"/>
    </w:r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agrafoelenco1">
    <w:name w:val="Paragrafo elenco1"/>
    <w:rsid w:val="000437E5"/>
    <w:pPr>
      <w:spacing w:after="200" w:line="276" w:lineRule="auto"/>
      <w:ind w:left="720" w:firstLine="0"/>
    </w:pPr>
    <w:rPr>
      <w:rFonts w:ascii="Calibri" w:hAnsi="Calibri"/>
      <w:sz w:val="22"/>
      <w:szCs w:val="22"/>
      <w:lang w:eastAsia="en-US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dicommercio@pec.basilicata.camcom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qP6zJsvorY1J2micrPpaKLEOBA==">CgMxLjAyCWguMWZvYjl0ZTIJaC4yZXQ5MnAwMgloLjMwajB6bGwyDmguejNndzc2OXByaWNuMg5oLjg2bm95NThibDZ0ZzIJaC4zem55c2g3OAByITF0RVZRS2djUmJhazA3NG51ME9uQ0YwNXc4azlwN0tRMg==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Baldi</dc:creator>
  <cp:lastModifiedBy>EPZ0076@bas.intra.cciaa.net</cp:lastModifiedBy>
  <cp:revision>3</cp:revision>
  <dcterms:created xsi:type="dcterms:W3CDTF">2025-09-18T08:52:00Z</dcterms:created>
  <dcterms:modified xsi:type="dcterms:W3CDTF">2025-09-25T11:10:00Z</dcterms:modified>
</cp:coreProperties>
</file>