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90D5050" w:rsidR="00E23256" w:rsidRDefault="001356B0">
      <w:pPr>
        <w:spacing w:before="92"/>
        <w:ind w:left="611" w:right="608" w:firstLine="2"/>
        <w:jc w:val="center"/>
        <w:rPr>
          <w:sz w:val="24"/>
          <w:szCs w:val="24"/>
        </w:rPr>
      </w:pPr>
      <w:bookmarkStart w:id="0" w:name="_ate6mnkvpt6t" w:colFirst="0" w:colLast="0"/>
      <w:bookmarkEnd w:id="0"/>
      <w:r>
        <w:rPr>
          <w:b/>
          <w:sz w:val="24"/>
          <w:szCs w:val="24"/>
        </w:rPr>
        <w:t xml:space="preserve">Procedura pubblica di selezione per soli </w:t>
      </w:r>
      <w:proofErr w:type="gramStart"/>
      <w:r>
        <w:rPr>
          <w:b/>
          <w:sz w:val="24"/>
          <w:szCs w:val="24"/>
        </w:rPr>
        <w:t>titoli ,</w:t>
      </w:r>
      <w:proofErr w:type="gramEnd"/>
      <w:r>
        <w:rPr>
          <w:b/>
          <w:sz w:val="24"/>
          <w:szCs w:val="24"/>
        </w:rPr>
        <w:t xml:space="preserve"> di </w:t>
      </w:r>
      <w:r w:rsidR="00023188">
        <w:rPr>
          <w:b/>
          <w:i/>
          <w:sz w:val="24"/>
          <w:szCs w:val="24"/>
        </w:rPr>
        <w:t xml:space="preserve">GESTORI DELLA CRISI </w:t>
      </w:r>
      <w:r>
        <w:rPr>
          <w:b/>
          <w:sz w:val="24"/>
          <w:szCs w:val="24"/>
        </w:rPr>
        <w:t>da inserire nell’elenco tenuto dall’Organismo di Composizione delle Crisi da sovraindebitamento della ASSET BASILICATA</w:t>
      </w:r>
      <w:r>
        <w:rPr>
          <w:sz w:val="24"/>
          <w:szCs w:val="24"/>
        </w:rPr>
        <w:t xml:space="preserve"> </w:t>
      </w:r>
    </w:p>
    <w:p w14:paraId="00000002" w14:textId="77777777" w:rsidR="00E23256" w:rsidRDefault="001356B0">
      <w:pPr>
        <w:spacing w:before="92"/>
        <w:ind w:left="611" w:right="608" w:firstLine="2"/>
        <w:jc w:val="center"/>
        <w:rPr>
          <w:b/>
          <w:sz w:val="24"/>
          <w:szCs w:val="24"/>
        </w:rPr>
      </w:pPr>
      <w:r>
        <w:rPr>
          <w:b/>
          <w:sz w:val="24"/>
          <w:szCs w:val="24"/>
        </w:rPr>
        <w:t>Organismo iscritto al n. 59 del registro degli Organismo d</w:t>
      </w:r>
      <w:bookmarkStart w:id="1" w:name="_GoBack"/>
      <w:bookmarkEnd w:id="1"/>
      <w:r>
        <w:rPr>
          <w:b/>
          <w:sz w:val="24"/>
          <w:szCs w:val="24"/>
        </w:rPr>
        <w:t xml:space="preserve">el Ministero della Giustizia </w:t>
      </w:r>
    </w:p>
    <w:p w14:paraId="00000003" w14:textId="77777777" w:rsidR="00E23256" w:rsidRDefault="00E23256">
      <w:pPr>
        <w:spacing w:before="92"/>
        <w:ind w:left="611" w:right="608" w:firstLine="2"/>
        <w:jc w:val="center"/>
        <w:rPr>
          <w:b/>
          <w:sz w:val="24"/>
          <w:szCs w:val="24"/>
        </w:rPr>
      </w:pPr>
    </w:p>
    <w:p w14:paraId="00000004" w14:textId="77777777" w:rsidR="00E23256" w:rsidRDefault="001356B0">
      <w:pPr>
        <w:pStyle w:val="Titolo1"/>
        <w:spacing w:before="207"/>
        <w:jc w:val="left"/>
        <w:rPr>
          <w:b/>
        </w:rPr>
      </w:pPr>
      <w:r>
        <w:rPr>
          <w:b/>
        </w:rPr>
        <w:t>Art. 1 – Oggetto della procedura</w:t>
      </w:r>
    </w:p>
    <w:p w14:paraId="00000005" w14:textId="0CAF6814" w:rsidR="00E23256" w:rsidRDefault="001356B0">
      <w:pPr>
        <w:pBdr>
          <w:top w:val="nil"/>
          <w:left w:val="nil"/>
          <w:bottom w:val="nil"/>
          <w:right w:val="nil"/>
          <w:between w:val="nil"/>
        </w:pBdr>
        <w:spacing w:before="1" w:after="120"/>
        <w:ind w:right="103"/>
        <w:jc w:val="both"/>
        <w:rPr>
          <w:color w:val="000000"/>
          <w:sz w:val="24"/>
          <w:szCs w:val="24"/>
        </w:rPr>
      </w:pPr>
      <w:r>
        <w:rPr>
          <w:color w:val="000000"/>
          <w:sz w:val="24"/>
          <w:szCs w:val="24"/>
        </w:rPr>
        <w:t xml:space="preserve">L’Azienda Speciale ASSET Basilicata (di seguito ASSET Basilicata), ai sensi della </w:t>
      </w:r>
      <w:r w:rsidR="001055B9">
        <w:rPr>
          <w:color w:val="000000"/>
          <w:sz w:val="24"/>
          <w:szCs w:val="24"/>
        </w:rPr>
        <w:t xml:space="preserve">normativa vigente </w:t>
      </w:r>
      <w:r>
        <w:rPr>
          <w:color w:val="000000"/>
          <w:sz w:val="24"/>
          <w:szCs w:val="24"/>
        </w:rPr>
        <w:t>del Regolamento del proprio Organismo di Composizione delle Crisi da sovraindebitamento, organizza una procedura pubblica di selezione per soli titoli, finalizzata all’individuazione di nuovi gestori della crisi da inserire nell’elenco tenuto presso l’Organismo di Composizione delle Crisi da sovraindebitamento della stessa ASSET Basilicata – sedi di Matera e Potenza.</w:t>
      </w:r>
    </w:p>
    <w:p w14:paraId="00000006" w14:textId="77777777" w:rsidR="00E23256" w:rsidRDefault="001356B0">
      <w:pPr>
        <w:pBdr>
          <w:top w:val="nil"/>
          <w:left w:val="nil"/>
          <w:bottom w:val="nil"/>
          <w:right w:val="nil"/>
          <w:between w:val="nil"/>
        </w:pBdr>
        <w:spacing w:before="1" w:after="120"/>
        <w:ind w:right="103"/>
        <w:rPr>
          <w:color w:val="000000"/>
          <w:sz w:val="24"/>
          <w:szCs w:val="24"/>
        </w:rPr>
      </w:pPr>
      <w:r>
        <w:rPr>
          <w:color w:val="000000"/>
          <w:sz w:val="24"/>
          <w:szCs w:val="24"/>
        </w:rPr>
        <w:t xml:space="preserve"> </w:t>
      </w:r>
    </w:p>
    <w:p w14:paraId="00000007" w14:textId="77777777" w:rsidR="00E23256" w:rsidRDefault="001356B0">
      <w:pPr>
        <w:pStyle w:val="Titolo1"/>
        <w:jc w:val="left"/>
        <w:rPr>
          <w:b/>
        </w:rPr>
      </w:pPr>
      <w:r>
        <w:rPr>
          <w:b/>
        </w:rPr>
        <w:t>Art. 2 – Requisiti di qualificazione professionale</w:t>
      </w:r>
    </w:p>
    <w:p w14:paraId="00000008" w14:textId="77777777" w:rsidR="00E23256" w:rsidRDefault="001356B0">
      <w:pPr>
        <w:pBdr>
          <w:top w:val="nil"/>
          <w:left w:val="nil"/>
          <w:bottom w:val="nil"/>
          <w:right w:val="nil"/>
          <w:between w:val="nil"/>
        </w:pBdr>
        <w:spacing w:before="1" w:after="120"/>
        <w:ind w:right="105"/>
        <w:jc w:val="both"/>
        <w:rPr>
          <w:color w:val="000000"/>
          <w:sz w:val="24"/>
          <w:szCs w:val="24"/>
        </w:rPr>
      </w:pPr>
      <w:r>
        <w:rPr>
          <w:color w:val="000000"/>
          <w:sz w:val="24"/>
          <w:szCs w:val="24"/>
        </w:rPr>
        <w:t>Possono partecipare alla procedura di selezione coloro che rientrino in una delle seguenti due categorie e siano in possesso di tutti i relativi requisiti di qualificazione professionale:</w:t>
      </w:r>
    </w:p>
    <w:p w14:paraId="00000009" w14:textId="77777777" w:rsidR="00E23256" w:rsidRDefault="001356B0">
      <w:pPr>
        <w:widowControl w:val="0"/>
        <w:numPr>
          <w:ilvl w:val="0"/>
          <w:numId w:val="5"/>
        </w:numPr>
        <w:pBdr>
          <w:top w:val="nil"/>
          <w:left w:val="nil"/>
          <w:bottom w:val="nil"/>
          <w:right w:val="nil"/>
          <w:between w:val="nil"/>
        </w:pBdr>
        <w:tabs>
          <w:tab w:val="left" w:pos="396"/>
        </w:tabs>
        <w:jc w:val="both"/>
        <w:rPr>
          <w:b/>
          <w:color w:val="000000"/>
        </w:rPr>
      </w:pPr>
      <w:r>
        <w:rPr>
          <w:b/>
          <w:color w:val="000000"/>
          <w:sz w:val="24"/>
          <w:szCs w:val="24"/>
        </w:rPr>
        <w:t>Professionisti</w:t>
      </w:r>
    </w:p>
    <w:p w14:paraId="0000000A" w14:textId="77777777" w:rsidR="00E23256" w:rsidRDefault="001356B0">
      <w:pPr>
        <w:widowControl w:val="0"/>
        <w:numPr>
          <w:ilvl w:val="0"/>
          <w:numId w:val="4"/>
        </w:numPr>
        <w:pBdr>
          <w:top w:val="nil"/>
          <w:left w:val="nil"/>
          <w:bottom w:val="nil"/>
          <w:right w:val="nil"/>
          <w:between w:val="nil"/>
        </w:pBdr>
        <w:tabs>
          <w:tab w:val="left" w:pos="401"/>
        </w:tabs>
        <w:spacing w:before="1"/>
        <w:ind w:right="109" w:firstLine="0"/>
        <w:jc w:val="both"/>
        <w:rPr>
          <w:color w:val="000000"/>
        </w:rPr>
      </w:pPr>
      <w:r>
        <w:rPr>
          <w:color w:val="000000"/>
          <w:sz w:val="24"/>
          <w:szCs w:val="24"/>
        </w:rPr>
        <w:t xml:space="preserve">iscritti agli ordini degli Avvocati, dei Dottori Commercialisti ed Esperti Contabili di Matera e Potenza </w:t>
      </w:r>
    </w:p>
    <w:p w14:paraId="0000000B" w14:textId="77777777" w:rsidR="00E23256" w:rsidRDefault="001356B0">
      <w:pPr>
        <w:widowControl w:val="0"/>
        <w:numPr>
          <w:ilvl w:val="0"/>
          <w:numId w:val="4"/>
        </w:numPr>
        <w:pBdr>
          <w:top w:val="nil"/>
          <w:left w:val="nil"/>
          <w:bottom w:val="nil"/>
          <w:right w:val="nil"/>
          <w:between w:val="nil"/>
        </w:pBdr>
        <w:tabs>
          <w:tab w:val="left" w:pos="461"/>
        </w:tabs>
        <w:spacing w:before="1"/>
        <w:ind w:right="103" w:firstLine="0"/>
        <w:jc w:val="both"/>
        <w:rPr>
          <w:color w:val="000000"/>
        </w:rPr>
      </w:pPr>
      <w:r>
        <w:rPr>
          <w:color w:val="000000"/>
          <w:sz w:val="24"/>
          <w:szCs w:val="24"/>
        </w:rPr>
        <w:t>in possesso di una specifica formazione ed aggiornamento   acquisiti tramite la partecipazione a corsi di perfezionamento istituiti a norma dell'articolo 16 del D.P.R. n. 162/1982, di durata non inferiore a quaranta ore, con le caratteristiche indicate nell’art. 4, comma 5, lettera b, e comma 6 del D.M. n. 202/2014.</w:t>
      </w:r>
    </w:p>
    <w:p w14:paraId="0000000C" w14:textId="77777777" w:rsidR="00E23256" w:rsidRDefault="00E23256">
      <w:pPr>
        <w:pBdr>
          <w:top w:val="nil"/>
          <w:left w:val="nil"/>
          <w:bottom w:val="nil"/>
          <w:right w:val="nil"/>
          <w:between w:val="nil"/>
        </w:pBdr>
        <w:spacing w:before="9" w:after="120"/>
        <w:rPr>
          <w:color w:val="000000"/>
          <w:sz w:val="24"/>
          <w:szCs w:val="24"/>
        </w:rPr>
      </w:pPr>
    </w:p>
    <w:p w14:paraId="0000000D" w14:textId="77777777" w:rsidR="00E23256" w:rsidRDefault="001356B0">
      <w:pPr>
        <w:pStyle w:val="Titolo1"/>
        <w:jc w:val="left"/>
        <w:rPr>
          <w:b/>
        </w:rPr>
      </w:pPr>
      <w:r>
        <w:rPr>
          <w:b/>
        </w:rPr>
        <w:t>Art. 3 – Requisiti di onorabilità</w:t>
      </w:r>
    </w:p>
    <w:p w14:paraId="0000000E" w14:textId="77777777" w:rsidR="00E23256" w:rsidRDefault="001356B0">
      <w:pPr>
        <w:pBdr>
          <w:top w:val="nil"/>
          <w:left w:val="nil"/>
          <w:bottom w:val="nil"/>
          <w:right w:val="nil"/>
          <w:between w:val="nil"/>
        </w:pBdr>
        <w:spacing w:before="1" w:after="120"/>
        <w:rPr>
          <w:color w:val="000000"/>
          <w:sz w:val="24"/>
          <w:szCs w:val="24"/>
        </w:rPr>
      </w:pPr>
      <w:r>
        <w:rPr>
          <w:color w:val="000000"/>
          <w:sz w:val="24"/>
          <w:szCs w:val="24"/>
        </w:rPr>
        <w:t>I candidati devono essere in possesso dei seguenti requisiti di onorabilità:</w:t>
      </w:r>
    </w:p>
    <w:p w14:paraId="0000000F" w14:textId="77777777" w:rsidR="00E23256" w:rsidRDefault="001356B0">
      <w:pPr>
        <w:widowControl w:val="0"/>
        <w:numPr>
          <w:ilvl w:val="0"/>
          <w:numId w:val="3"/>
        </w:numPr>
        <w:pBdr>
          <w:top w:val="nil"/>
          <w:left w:val="nil"/>
          <w:bottom w:val="nil"/>
          <w:right w:val="nil"/>
          <w:between w:val="nil"/>
        </w:pBdr>
        <w:tabs>
          <w:tab w:val="left" w:pos="392"/>
        </w:tabs>
        <w:spacing w:before="2"/>
        <w:ind w:right="102" w:firstLine="0"/>
        <w:jc w:val="both"/>
        <w:rPr>
          <w:color w:val="000000"/>
        </w:rPr>
      </w:pPr>
      <w:r>
        <w:rPr>
          <w:color w:val="000000"/>
          <w:sz w:val="24"/>
          <w:szCs w:val="24"/>
        </w:rPr>
        <w:t>non versare in una delle condizioni di ineleggibilità o decadenza previste dall'articolo 2382 del codice civile;</w:t>
      </w:r>
    </w:p>
    <w:p w14:paraId="00000010" w14:textId="77777777" w:rsidR="00E23256" w:rsidRDefault="001356B0">
      <w:pPr>
        <w:widowControl w:val="0"/>
        <w:numPr>
          <w:ilvl w:val="0"/>
          <w:numId w:val="3"/>
        </w:numPr>
        <w:pBdr>
          <w:top w:val="nil"/>
          <w:left w:val="nil"/>
          <w:bottom w:val="nil"/>
          <w:right w:val="nil"/>
          <w:between w:val="nil"/>
        </w:pBdr>
        <w:tabs>
          <w:tab w:val="left" w:pos="382"/>
        </w:tabs>
        <w:ind w:right="107" w:firstLine="0"/>
        <w:jc w:val="both"/>
        <w:rPr>
          <w:color w:val="000000"/>
        </w:rPr>
      </w:pPr>
      <w:r>
        <w:rPr>
          <w:color w:val="000000"/>
          <w:sz w:val="24"/>
          <w:szCs w:val="24"/>
        </w:rPr>
        <w:t>non essere stati sottoposti a misure di prevenzione disposte dall'autorità giudiziaria ai sensi del decreto legislativo 6 settembre 2011, n. 159;</w:t>
      </w:r>
    </w:p>
    <w:p w14:paraId="00000011" w14:textId="77777777" w:rsidR="00E23256" w:rsidRDefault="001356B0">
      <w:pPr>
        <w:widowControl w:val="0"/>
        <w:numPr>
          <w:ilvl w:val="0"/>
          <w:numId w:val="3"/>
        </w:numPr>
        <w:pBdr>
          <w:top w:val="nil"/>
          <w:left w:val="nil"/>
          <w:bottom w:val="nil"/>
          <w:right w:val="nil"/>
          <w:between w:val="nil"/>
        </w:pBdr>
        <w:tabs>
          <w:tab w:val="left" w:pos="360"/>
        </w:tabs>
        <w:spacing w:line="251" w:lineRule="auto"/>
        <w:ind w:left="359" w:hanging="248"/>
        <w:jc w:val="both"/>
        <w:rPr>
          <w:color w:val="000000"/>
        </w:rPr>
      </w:pPr>
      <w:r>
        <w:rPr>
          <w:color w:val="000000"/>
          <w:sz w:val="24"/>
          <w:szCs w:val="24"/>
        </w:rPr>
        <w:t>non essere stati condannati con sentenza passata in giudicato, salvi gli effetti della riabilitazione:</w:t>
      </w:r>
    </w:p>
    <w:p w14:paraId="00000012" w14:textId="77777777" w:rsidR="00E23256" w:rsidRDefault="001356B0">
      <w:pPr>
        <w:widowControl w:val="0"/>
        <w:numPr>
          <w:ilvl w:val="0"/>
          <w:numId w:val="2"/>
        </w:numPr>
        <w:pBdr>
          <w:top w:val="nil"/>
          <w:left w:val="nil"/>
          <w:bottom w:val="nil"/>
          <w:right w:val="nil"/>
          <w:between w:val="nil"/>
        </w:pBdr>
        <w:tabs>
          <w:tab w:val="left" w:pos="312"/>
        </w:tabs>
        <w:spacing w:before="2"/>
        <w:ind w:right="104" w:firstLine="0"/>
        <w:jc w:val="both"/>
        <w:rPr>
          <w:color w:val="000000"/>
        </w:rPr>
      </w:pPr>
      <w:r>
        <w:rPr>
          <w:color w:val="000000"/>
          <w:sz w:val="24"/>
          <w:szCs w:val="24"/>
        </w:rPr>
        <w:t>a pena detentiva per uno dei reati previsti dalle norme che disciplinano l'attività bancaria, finanziaria, mobiliare, assicurativa e dalle norme in materia di mercati e valori mobiliari, di strumenti di pagamento;</w:t>
      </w:r>
    </w:p>
    <w:p w14:paraId="00000013" w14:textId="77777777" w:rsidR="00E23256" w:rsidRDefault="001356B0">
      <w:pPr>
        <w:widowControl w:val="0"/>
        <w:numPr>
          <w:ilvl w:val="0"/>
          <w:numId w:val="2"/>
        </w:numPr>
        <w:pBdr>
          <w:top w:val="nil"/>
          <w:left w:val="nil"/>
          <w:bottom w:val="nil"/>
          <w:right w:val="nil"/>
          <w:between w:val="nil"/>
        </w:pBdr>
        <w:tabs>
          <w:tab w:val="left" w:pos="279"/>
        </w:tabs>
        <w:ind w:right="107" w:firstLine="0"/>
        <w:jc w:val="both"/>
        <w:rPr>
          <w:color w:val="000000"/>
        </w:rPr>
      </w:pPr>
      <w:r>
        <w:rPr>
          <w:color w:val="000000"/>
          <w:sz w:val="24"/>
          <w:szCs w:val="24"/>
        </w:rPr>
        <w:t>alla reclusione per uno dei delitti previsti nel titolo XI del libro V del Codice Civile, del R.D. n. 267/1942, nonché dall'articolo 16 della L. n. 3/2012;</w:t>
      </w:r>
    </w:p>
    <w:p w14:paraId="00000014" w14:textId="77777777" w:rsidR="00E23256" w:rsidRDefault="001356B0">
      <w:pPr>
        <w:widowControl w:val="0"/>
        <w:numPr>
          <w:ilvl w:val="0"/>
          <w:numId w:val="2"/>
        </w:numPr>
        <w:pBdr>
          <w:top w:val="nil"/>
          <w:left w:val="nil"/>
          <w:bottom w:val="nil"/>
          <w:right w:val="nil"/>
          <w:between w:val="nil"/>
        </w:pBdr>
        <w:tabs>
          <w:tab w:val="left" w:pos="329"/>
        </w:tabs>
        <w:ind w:right="103" w:firstLine="0"/>
        <w:jc w:val="both"/>
        <w:rPr>
          <w:color w:val="000000"/>
        </w:rPr>
      </w:pPr>
      <w:r>
        <w:rPr>
          <w:color w:val="000000"/>
          <w:sz w:val="24"/>
          <w:szCs w:val="24"/>
        </w:rPr>
        <w:t>alla reclusione per un tempo non inferiore a un anno per un delitto contro la pubblica amministrazione, contro la fede pubblica, contro il patrimonio, contro l'ordine pubblico, contro l'economia pubblica ovvero per un delitto in materia tributaria;</w:t>
      </w:r>
    </w:p>
    <w:p w14:paraId="00000015" w14:textId="77777777" w:rsidR="00E23256" w:rsidRDefault="001356B0">
      <w:pPr>
        <w:widowControl w:val="0"/>
        <w:numPr>
          <w:ilvl w:val="0"/>
          <w:numId w:val="2"/>
        </w:numPr>
        <w:pBdr>
          <w:top w:val="nil"/>
          <w:left w:val="nil"/>
          <w:bottom w:val="nil"/>
          <w:right w:val="nil"/>
          <w:between w:val="nil"/>
        </w:pBdr>
        <w:tabs>
          <w:tab w:val="left" w:pos="250"/>
        </w:tabs>
        <w:ind w:left="249" w:hanging="136"/>
        <w:rPr>
          <w:color w:val="000000"/>
        </w:rPr>
      </w:pPr>
      <w:bookmarkStart w:id="2" w:name="_913vfs9db72k" w:colFirst="0" w:colLast="0"/>
      <w:bookmarkEnd w:id="2"/>
      <w:r>
        <w:rPr>
          <w:color w:val="000000"/>
          <w:sz w:val="24"/>
          <w:szCs w:val="24"/>
        </w:rPr>
        <w:t>alla reclusione per un tempo superiore a due anni per un qualunque delitto non colposo;</w:t>
      </w:r>
    </w:p>
    <w:p w14:paraId="00000016" w14:textId="77777777" w:rsidR="00E23256" w:rsidRDefault="001356B0">
      <w:pPr>
        <w:widowControl w:val="0"/>
        <w:numPr>
          <w:ilvl w:val="0"/>
          <w:numId w:val="3"/>
        </w:numPr>
        <w:pBdr>
          <w:top w:val="nil"/>
          <w:left w:val="nil"/>
          <w:bottom w:val="nil"/>
          <w:right w:val="nil"/>
          <w:between w:val="nil"/>
        </w:pBdr>
        <w:tabs>
          <w:tab w:val="left" w:pos="372"/>
        </w:tabs>
        <w:spacing w:before="2"/>
        <w:ind w:left="372" w:hanging="260"/>
        <w:jc w:val="both"/>
        <w:rPr>
          <w:color w:val="000000"/>
        </w:rPr>
      </w:pPr>
      <w:r>
        <w:rPr>
          <w:color w:val="000000"/>
          <w:sz w:val="24"/>
          <w:szCs w:val="24"/>
        </w:rPr>
        <w:t>non avere riportato una sanzione disciplinare diversa dall'avvertimento.</w:t>
      </w:r>
    </w:p>
    <w:p w14:paraId="00000017" w14:textId="77777777" w:rsidR="00E23256" w:rsidRDefault="00E23256">
      <w:pPr>
        <w:pBdr>
          <w:top w:val="nil"/>
          <w:left w:val="nil"/>
          <w:bottom w:val="nil"/>
          <w:right w:val="nil"/>
          <w:between w:val="nil"/>
        </w:pBdr>
        <w:spacing w:before="7" w:after="120"/>
        <w:rPr>
          <w:color w:val="000000"/>
          <w:sz w:val="24"/>
          <w:szCs w:val="24"/>
        </w:rPr>
      </w:pPr>
    </w:p>
    <w:p w14:paraId="00000018" w14:textId="77777777" w:rsidR="00E23256" w:rsidRDefault="001356B0">
      <w:pPr>
        <w:pStyle w:val="Titolo1"/>
        <w:jc w:val="left"/>
        <w:rPr>
          <w:b/>
        </w:rPr>
      </w:pPr>
      <w:r>
        <w:rPr>
          <w:b/>
        </w:rPr>
        <w:t>Art. 4 – Ulteriori requisiti</w:t>
      </w:r>
    </w:p>
    <w:p w14:paraId="00000019" w14:textId="77777777" w:rsidR="00E23256" w:rsidRDefault="001356B0">
      <w:pPr>
        <w:pBdr>
          <w:top w:val="nil"/>
          <w:left w:val="nil"/>
          <w:bottom w:val="nil"/>
          <w:right w:val="nil"/>
          <w:between w:val="nil"/>
        </w:pBdr>
        <w:spacing w:before="4" w:after="120"/>
        <w:rPr>
          <w:color w:val="000000"/>
          <w:sz w:val="24"/>
          <w:szCs w:val="24"/>
        </w:rPr>
      </w:pPr>
      <w:r>
        <w:rPr>
          <w:color w:val="000000"/>
          <w:sz w:val="24"/>
          <w:szCs w:val="24"/>
        </w:rPr>
        <w:t>I candidati devono essere in possesso di una polizza assicurativa per responsabilità professionale.</w:t>
      </w:r>
    </w:p>
    <w:p w14:paraId="0000001A" w14:textId="77777777" w:rsidR="00E23256" w:rsidRDefault="00E23256">
      <w:pPr>
        <w:pBdr>
          <w:top w:val="nil"/>
          <w:left w:val="nil"/>
          <w:bottom w:val="nil"/>
          <w:right w:val="nil"/>
          <w:between w:val="nil"/>
        </w:pBdr>
        <w:spacing w:before="9" w:after="120"/>
        <w:rPr>
          <w:color w:val="000000"/>
          <w:sz w:val="24"/>
          <w:szCs w:val="24"/>
        </w:rPr>
      </w:pPr>
    </w:p>
    <w:p w14:paraId="0000001B" w14:textId="77777777" w:rsidR="00E23256" w:rsidRDefault="001356B0">
      <w:pPr>
        <w:pStyle w:val="Titolo1"/>
        <w:jc w:val="both"/>
        <w:rPr>
          <w:b/>
        </w:rPr>
      </w:pPr>
      <w:r>
        <w:rPr>
          <w:b/>
        </w:rPr>
        <w:t>Art. 5 – Documentazione del possesso dei requisiti</w:t>
      </w:r>
    </w:p>
    <w:p w14:paraId="0000001C" w14:textId="669B5EF8" w:rsidR="00E23256" w:rsidRDefault="001356B0">
      <w:pPr>
        <w:pBdr>
          <w:top w:val="nil"/>
          <w:left w:val="nil"/>
          <w:bottom w:val="nil"/>
          <w:right w:val="nil"/>
          <w:between w:val="nil"/>
        </w:pBdr>
        <w:spacing w:before="2" w:after="120"/>
        <w:ind w:right="101"/>
        <w:jc w:val="both"/>
        <w:rPr>
          <w:color w:val="000000"/>
          <w:sz w:val="24"/>
          <w:szCs w:val="24"/>
        </w:rPr>
      </w:pPr>
      <w:r>
        <w:rPr>
          <w:color w:val="000000"/>
          <w:sz w:val="24"/>
          <w:szCs w:val="24"/>
        </w:rPr>
        <w:t>Con l’eccezione del requisito di cui all’art. 4, che dovrà essere documentato esibendo copia della polizza assicurativa, il possesso dei requisiti prescritti dovrà essere attestato tramite rilascio di specifiche dichiarazioni sostitutive ai sensi degli artt. 46 e 47 del D.P.R. n. 445/2000</w:t>
      </w:r>
      <w:r w:rsidR="001055B9">
        <w:rPr>
          <w:color w:val="000000"/>
          <w:sz w:val="24"/>
          <w:szCs w:val="24"/>
        </w:rPr>
        <w:t xml:space="preserve"> o allegando gli originali o copie conformi. </w:t>
      </w:r>
    </w:p>
    <w:p w14:paraId="0000001D" w14:textId="77777777" w:rsidR="00E23256" w:rsidRDefault="00E23256">
      <w:pPr>
        <w:pBdr>
          <w:top w:val="nil"/>
          <w:left w:val="nil"/>
          <w:bottom w:val="nil"/>
          <w:right w:val="nil"/>
          <w:between w:val="nil"/>
        </w:pBdr>
        <w:spacing w:before="9" w:after="120"/>
        <w:rPr>
          <w:color w:val="000000"/>
          <w:sz w:val="24"/>
          <w:szCs w:val="24"/>
        </w:rPr>
      </w:pPr>
    </w:p>
    <w:p w14:paraId="0000001E" w14:textId="77777777" w:rsidR="00E23256" w:rsidRDefault="001356B0">
      <w:pPr>
        <w:pStyle w:val="Titolo1"/>
        <w:jc w:val="left"/>
        <w:rPr>
          <w:b/>
        </w:rPr>
      </w:pPr>
      <w:r>
        <w:rPr>
          <w:b/>
        </w:rPr>
        <w:t>Art. 6 – Modalità di presentazione della domanda di partecipazione alla selezione</w:t>
      </w:r>
    </w:p>
    <w:p w14:paraId="0000001F" w14:textId="449FB3F8" w:rsidR="00E23256" w:rsidRDefault="001356B0">
      <w:pPr>
        <w:pBdr>
          <w:top w:val="nil"/>
          <w:left w:val="nil"/>
          <w:bottom w:val="nil"/>
          <w:right w:val="nil"/>
          <w:between w:val="nil"/>
        </w:pBdr>
        <w:spacing w:before="2" w:after="120"/>
        <w:ind w:right="104"/>
        <w:jc w:val="both"/>
        <w:rPr>
          <w:color w:val="000000"/>
          <w:sz w:val="24"/>
          <w:szCs w:val="24"/>
        </w:rPr>
      </w:pPr>
      <w:bookmarkStart w:id="3" w:name="_vfxycwh3r7f6" w:colFirst="0" w:colLast="0"/>
      <w:bookmarkEnd w:id="3"/>
      <w:r>
        <w:rPr>
          <w:color w:val="000000"/>
          <w:sz w:val="24"/>
          <w:szCs w:val="24"/>
        </w:rPr>
        <w:t xml:space="preserve">La domanda di partecipazione alla presente procedura pubblica di selezione di gestori della crisi, contenente le prescritte dichiarazioni sostitutive, deve essere presentata via PEC all’indirizzo </w:t>
      </w:r>
      <w:hyperlink r:id="rId7" w:history="1">
        <w:r w:rsidR="006A4EAB" w:rsidRPr="00BB1203">
          <w:rPr>
            <w:rStyle w:val="Collegamentoipertestuale"/>
            <w:sz w:val="24"/>
            <w:szCs w:val="24"/>
          </w:rPr>
          <w:t>occ.assetbasilicata@legalmail.it</w:t>
        </w:r>
      </w:hyperlink>
      <w:r w:rsidR="006A4EAB">
        <w:rPr>
          <w:color w:val="000000"/>
          <w:sz w:val="24"/>
          <w:szCs w:val="24"/>
        </w:rPr>
        <w:t xml:space="preserve"> </w:t>
      </w:r>
      <w:hyperlink r:id="rId8">
        <w:r w:rsidRPr="00A739F4">
          <w:rPr>
            <w:color w:val="000000"/>
            <w:sz w:val="24"/>
            <w:szCs w:val="24"/>
            <w:highlight w:val="yellow"/>
          </w:rPr>
          <w:t xml:space="preserve"> </w:t>
        </w:r>
      </w:hyperlink>
      <w:r w:rsidRPr="00A739F4">
        <w:rPr>
          <w:color w:val="0000FF"/>
          <w:sz w:val="24"/>
          <w:szCs w:val="24"/>
          <w:highlight w:val="yellow"/>
          <w:u w:val="single"/>
        </w:rPr>
        <w:t xml:space="preserve"> </w:t>
      </w:r>
      <w:r w:rsidRPr="00A739F4">
        <w:rPr>
          <w:b/>
          <w:color w:val="000000"/>
          <w:sz w:val="24"/>
          <w:szCs w:val="24"/>
          <w:highlight w:val="yellow"/>
          <w:u w:val="single"/>
        </w:rPr>
        <w:t>entro le ore 12,00 del</w:t>
      </w:r>
      <w:r w:rsidR="006A4EAB" w:rsidRPr="00A739F4">
        <w:rPr>
          <w:b/>
          <w:color w:val="000000"/>
          <w:sz w:val="24"/>
          <w:szCs w:val="24"/>
          <w:highlight w:val="yellow"/>
          <w:u w:val="single"/>
        </w:rPr>
        <w:t xml:space="preserve">  </w:t>
      </w:r>
      <w:r w:rsidR="00A739F4" w:rsidRPr="00A739F4">
        <w:rPr>
          <w:b/>
          <w:color w:val="000000"/>
          <w:sz w:val="24"/>
          <w:szCs w:val="24"/>
          <w:highlight w:val="yellow"/>
          <w:u w:val="single"/>
        </w:rPr>
        <w:t xml:space="preserve">3 ottobre </w:t>
      </w:r>
      <w:r w:rsidR="001055B9" w:rsidRPr="00A739F4">
        <w:rPr>
          <w:b/>
          <w:color w:val="000000"/>
          <w:sz w:val="24"/>
          <w:szCs w:val="24"/>
          <w:highlight w:val="yellow"/>
          <w:u w:val="single"/>
        </w:rPr>
        <w:t xml:space="preserve"> </w:t>
      </w:r>
      <w:r w:rsidR="006A4EAB" w:rsidRPr="00A739F4">
        <w:rPr>
          <w:b/>
          <w:color w:val="000000"/>
          <w:sz w:val="24"/>
          <w:szCs w:val="24"/>
          <w:highlight w:val="yellow"/>
          <w:u w:val="single"/>
        </w:rPr>
        <w:t xml:space="preserve"> settembre 2025</w:t>
      </w:r>
      <w:r w:rsidR="006A4EAB" w:rsidRPr="00A739F4">
        <w:rPr>
          <w:color w:val="000000"/>
          <w:sz w:val="24"/>
          <w:szCs w:val="24"/>
          <w:u w:val="single"/>
        </w:rPr>
        <w:t xml:space="preserve"> </w:t>
      </w:r>
      <w:r w:rsidRPr="00A739F4">
        <w:rPr>
          <w:color w:val="000000"/>
          <w:sz w:val="24"/>
          <w:szCs w:val="24"/>
          <w:u w:val="single"/>
        </w:rPr>
        <w:t>.</w:t>
      </w:r>
      <w:r>
        <w:rPr>
          <w:color w:val="000000"/>
          <w:sz w:val="24"/>
          <w:szCs w:val="24"/>
          <w:u w:val="single"/>
        </w:rPr>
        <w:t xml:space="preserve"> Il termine si intende perentorio </w:t>
      </w:r>
    </w:p>
    <w:p w14:paraId="00000020" w14:textId="77777777" w:rsidR="00E23256" w:rsidRDefault="001356B0">
      <w:pPr>
        <w:pBdr>
          <w:top w:val="nil"/>
          <w:left w:val="nil"/>
          <w:bottom w:val="nil"/>
          <w:right w:val="nil"/>
          <w:between w:val="nil"/>
        </w:pBdr>
        <w:spacing w:before="2" w:after="120"/>
        <w:ind w:right="104"/>
        <w:rPr>
          <w:color w:val="000000"/>
          <w:sz w:val="24"/>
          <w:szCs w:val="24"/>
        </w:rPr>
      </w:pPr>
      <w:r>
        <w:rPr>
          <w:color w:val="000000"/>
          <w:sz w:val="24"/>
          <w:szCs w:val="24"/>
        </w:rPr>
        <w:t>È esclusa ogni altra modalità di presentazione.</w:t>
      </w:r>
    </w:p>
    <w:p w14:paraId="510FA72F" w14:textId="64EAD56D" w:rsidR="00A739F4" w:rsidRPr="00A739F4" w:rsidRDefault="001356B0">
      <w:pPr>
        <w:pBdr>
          <w:top w:val="nil"/>
          <w:left w:val="nil"/>
          <w:bottom w:val="nil"/>
          <w:right w:val="nil"/>
          <w:between w:val="nil"/>
        </w:pBdr>
        <w:spacing w:before="2" w:after="120"/>
        <w:ind w:right="101"/>
        <w:rPr>
          <w:b/>
          <w:color w:val="000000"/>
          <w:sz w:val="24"/>
          <w:szCs w:val="24"/>
          <w:u w:val="single"/>
        </w:rPr>
      </w:pPr>
      <w:r>
        <w:rPr>
          <w:color w:val="000000"/>
          <w:sz w:val="24"/>
          <w:szCs w:val="24"/>
        </w:rPr>
        <w:t>La domanda, da compilarsi utilizzando il modello pubblicato su</w:t>
      </w:r>
      <w:r w:rsidR="00A739F4">
        <w:rPr>
          <w:color w:val="000000"/>
          <w:sz w:val="24"/>
          <w:szCs w:val="24"/>
        </w:rPr>
        <w:t xml:space="preserve">i </w:t>
      </w:r>
      <w:r>
        <w:rPr>
          <w:color w:val="000000"/>
          <w:sz w:val="24"/>
          <w:szCs w:val="24"/>
        </w:rPr>
        <w:t xml:space="preserve"> </w:t>
      </w:r>
      <w:r w:rsidRPr="00A739F4">
        <w:rPr>
          <w:color w:val="000000"/>
          <w:sz w:val="24"/>
          <w:szCs w:val="24"/>
        </w:rPr>
        <w:t>sit</w:t>
      </w:r>
      <w:r w:rsidR="00A739F4">
        <w:rPr>
          <w:color w:val="000000"/>
          <w:sz w:val="24"/>
          <w:szCs w:val="24"/>
        </w:rPr>
        <w:t xml:space="preserve">i </w:t>
      </w:r>
      <w:r w:rsidRPr="00A739F4">
        <w:rPr>
          <w:color w:val="000000"/>
          <w:sz w:val="24"/>
          <w:szCs w:val="24"/>
        </w:rPr>
        <w:t xml:space="preserve">  </w:t>
      </w:r>
      <w:r w:rsidR="001055B9" w:rsidRPr="00A739F4">
        <w:rPr>
          <w:color w:val="000000"/>
          <w:sz w:val="24"/>
          <w:szCs w:val="24"/>
        </w:rPr>
        <w:t xml:space="preserve">di Asset Basilicata </w:t>
      </w:r>
      <w:hyperlink r:id="rId9" w:history="1">
        <w:r w:rsidR="00A739F4" w:rsidRPr="00A739F4">
          <w:rPr>
            <w:rStyle w:val="Collegamentoipertestuale"/>
            <w:sz w:val="24"/>
            <w:szCs w:val="24"/>
          </w:rPr>
          <w:t>https://www.assetbasilicata.it/asset/Startup.do</w:t>
        </w:r>
      </w:hyperlink>
      <w:r w:rsidR="00A739F4" w:rsidRPr="00A739F4">
        <w:rPr>
          <w:color w:val="000000"/>
          <w:sz w:val="24"/>
          <w:szCs w:val="24"/>
        </w:rPr>
        <w:t xml:space="preserve"> </w:t>
      </w:r>
      <w:r w:rsidR="001055B9" w:rsidRPr="00A739F4">
        <w:rPr>
          <w:color w:val="000000"/>
          <w:sz w:val="24"/>
          <w:szCs w:val="24"/>
        </w:rPr>
        <w:t xml:space="preserve">e della Camera di commercio della Basilicata  </w:t>
      </w:r>
      <w:hyperlink r:id="rId10" w:history="1">
        <w:r w:rsidR="00A739F4" w:rsidRPr="00610077">
          <w:rPr>
            <w:rStyle w:val="Collegamentoipertestuale"/>
            <w:sz w:val="24"/>
            <w:szCs w:val="24"/>
          </w:rPr>
          <w:t>https://www.basilicata.camcom.it/</w:t>
        </w:r>
      </w:hyperlink>
      <w:r w:rsidR="00A739F4">
        <w:rPr>
          <w:color w:val="000000"/>
          <w:sz w:val="24"/>
          <w:szCs w:val="24"/>
        </w:rPr>
        <w:t xml:space="preserve">, </w:t>
      </w:r>
      <w:r w:rsidR="00A739F4" w:rsidRPr="00A739F4">
        <w:rPr>
          <w:b/>
          <w:color w:val="000000"/>
          <w:sz w:val="24"/>
          <w:szCs w:val="24"/>
          <w:u w:val="single"/>
        </w:rPr>
        <w:t>deve essere sottoscritta digitalmente dall’interessato.</w:t>
      </w:r>
    </w:p>
    <w:p w14:paraId="00000022" w14:textId="77777777" w:rsidR="00E23256" w:rsidRDefault="00E23256">
      <w:pPr>
        <w:pBdr>
          <w:top w:val="nil"/>
          <w:left w:val="nil"/>
          <w:bottom w:val="nil"/>
          <w:right w:val="nil"/>
          <w:between w:val="nil"/>
        </w:pBdr>
        <w:spacing w:before="6" w:after="120"/>
        <w:rPr>
          <w:color w:val="000000"/>
          <w:sz w:val="24"/>
          <w:szCs w:val="24"/>
        </w:rPr>
      </w:pPr>
    </w:p>
    <w:p w14:paraId="00000023" w14:textId="77777777" w:rsidR="00E23256" w:rsidRDefault="001356B0">
      <w:pPr>
        <w:pStyle w:val="Titolo1"/>
        <w:spacing w:before="1"/>
        <w:jc w:val="left"/>
        <w:rPr>
          <w:b/>
        </w:rPr>
      </w:pPr>
      <w:r>
        <w:rPr>
          <w:b/>
        </w:rPr>
        <w:t>Art. 7 - Casi di esclusione dalla selezione</w:t>
      </w:r>
    </w:p>
    <w:p w14:paraId="00000024" w14:textId="77777777" w:rsidR="00E23256" w:rsidRDefault="001356B0">
      <w:pPr>
        <w:pBdr>
          <w:top w:val="nil"/>
          <w:left w:val="nil"/>
          <w:bottom w:val="nil"/>
          <w:right w:val="nil"/>
          <w:between w:val="nil"/>
        </w:pBdr>
        <w:spacing w:before="3" w:after="120" w:line="252" w:lineRule="auto"/>
        <w:jc w:val="both"/>
        <w:rPr>
          <w:color w:val="000000"/>
          <w:sz w:val="24"/>
          <w:szCs w:val="24"/>
        </w:rPr>
      </w:pPr>
      <w:r>
        <w:rPr>
          <w:color w:val="000000"/>
          <w:sz w:val="24"/>
          <w:szCs w:val="24"/>
        </w:rPr>
        <w:t>Si prevedono i seguenti casi di esclusione dalla presente procedura di selezione:</w:t>
      </w:r>
    </w:p>
    <w:p w14:paraId="00000025" w14:textId="77777777" w:rsidR="00E23256" w:rsidRDefault="001356B0">
      <w:pPr>
        <w:widowControl w:val="0"/>
        <w:numPr>
          <w:ilvl w:val="0"/>
          <w:numId w:val="1"/>
        </w:numPr>
        <w:pBdr>
          <w:top w:val="nil"/>
          <w:left w:val="nil"/>
          <w:bottom w:val="nil"/>
          <w:right w:val="nil"/>
          <w:between w:val="nil"/>
        </w:pBdr>
        <w:tabs>
          <w:tab w:val="left" w:pos="372"/>
        </w:tabs>
        <w:spacing w:line="252" w:lineRule="auto"/>
        <w:jc w:val="both"/>
        <w:rPr>
          <w:color w:val="000000"/>
        </w:rPr>
      </w:pPr>
      <w:r>
        <w:rPr>
          <w:color w:val="000000"/>
          <w:sz w:val="24"/>
          <w:szCs w:val="24"/>
        </w:rPr>
        <w:t>invio della domanda di partecipazione oltre il termine stabilito;</w:t>
      </w:r>
    </w:p>
    <w:p w14:paraId="00000026" w14:textId="77777777" w:rsidR="00E23256" w:rsidRDefault="001356B0">
      <w:pPr>
        <w:widowControl w:val="0"/>
        <w:numPr>
          <w:ilvl w:val="0"/>
          <w:numId w:val="1"/>
        </w:numPr>
        <w:pBdr>
          <w:top w:val="nil"/>
          <w:left w:val="nil"/>
          <w:bottom w:val="nil"/>
          <w:right w:val="nil"/>
          <w:between w:val="nil"/>
        </w:pBdr>
        <w:tabs>
          <w:tab w:val="left" w:pos="372"/>
        </w:tabs>
        <w:spacing w:before="2" w:line="252" w:lineRule="auto"/>
        <w:jc w:val="both"/>
        <w:rPr>
          <w:color w:val="000000"/>
        </w:rPr>
      </w:pPr>
      <w:r>
        <w:rPr>
          <w:color w:val="000000"/>
          <w:sz w:val="24"/>
          <w:szCs w:val="24"/>
        </w:rPr>
        <w:t>invio della domanda di partecipazione con modalità diverse dalla PEC;</w:t>
      </w:r>
    </w:p>
    <w:p w14:paraId="00000027" w14:textId="77777777" w:rsidR="00E23256" w:rsidRDefault="001356B0">
      <w:pPr>
        <w:widowControl w:val="0"/>
        <w:numPr>
          <w:ilvl w:val="0"/>
          <w:numId w:val="1"/>
        </w:numPr>
        <w:pBdr>
          <w:top w:val="nil"/>
          <w:left w:val="nil"/>
          <w:bottom w:val="nil"/>
          <w:right w:val="nil"/>
          <w:between w:val="nil"/>
        </w:pBdr>
        <w:tabs>
          <w:tab w:val="left" w:pos="440"/>
        </w:tabs>
        <w:ind w:left="112" w:right="103" w:firstLine="0"/>
        <w:jc w:val="both"/>
        <w:rPr>
          <w:color w:val="000000"/>
        </w:rPr>
      </w:pPr>
      <w:r>
        <w:rPr>
          <w:color w:val="000000"/>
          <w:sz w:val="24"/>
          <w:szCs w:val="24"/>
        </w:rPr>
        <w:t>compilazione non completa della domanda di partecipazione, che non consenta l’esatta identificazione del partecipante o non attesti il possesso dei requisiti; in particolare, la mancanza delle prescritte dichiarazioni sostitutive o l’inosservanza delle forme per esse prescritte;</w:t>
      </w:r>
    </w:p>
    <w:p w14:paraId="00000028" w14:textId="77777777" w:rsidR="00E23256" w:rsidRDefault="001356B0">
      <w:pPr>
        <w:widowControl w:val="0"/>
        <w:numPr>
          <w:ilvl w:val="0"/>
          <w:numId w:val="1"/>
        </w:numPr>
        <w:pBdr>
          <w:top w:val="nil"/>
          <w:left w:val="nil"/>
          <w:bottom w:val="nil"/>
          <w:right w:val="nil"/>
          <w:between w:val="nil"/>
        </w:pBdr>
        <w:tabs>
          <w:tab w:val="left" w:pos="404"/>
        </w:tabs>
        <w:ind w:left="112" w:right="102" w:firstLine="0"/>
        <w:jc w:val="both"/>
        <w:rPr>
          <w:color w:val="000000"/>
        </w:rPr>
      </w:pPr>
      <w:r>
        <w:rPr>
          <w:color w:val="000000"/>
          <w:sz w:val="24"/>
          <w:szCs w:val="24"/>
        </w:rPr>
        <w:t>mancata indicazione di un indirizzo PEC presso cui ricevere tutte le eventuali comunicazioni relative alla presente procedura di selezione;</w:t>
      </w:r>
    </w:p>
    <w:p w14:paraId="00000029" w14:textId="77777777" w:rsidR="00E23256" w:rsidRDefault="001356B0">
      <w:pPr>
        <w:widowControl w:val="0"/>
        <w:numPr>
          <w:ilvl w:val="0"/>
          <w:numId w:val="1"/>
        </w:numPr>
        <w:pBdr>
          <w:top w:val="nil"/>
          <w:left w:val="nil"/>
          <w:bottom w:val="nil"/>
          <w:right w:val="nil"/>
          <w:between w:val="nil"/>
        </w:pBdr>
        <w:tabs>
          <w:tab w:val="left" w:pos="370"/>
        </w:tabs>
        <w:ind w:left="369" w:hanging="258"/>
        <w:jc w:val="both"/>
        <w:rPr>
          <w:color w:val="000000"/>
        </w:rPr>
      </w:pPr>
      <w:r>
        <w:rPr>
          <w:color w:val="000000"/>
          <w:sz w:val="24"/>
          <w:szCs w:val="24"/>
        </w:rPr>
        <w:t>mancata sottoscrizione della domanda di partecipazione;</w:t>
      </w:r>
    </w:p>
    <w:p w14:paraId="0000002A" w14:textId="77777777" w:rsidR="00E23256" w:rsidRDefault="001356B0">
      <w:pPr>
        <w:widowControl w:val="0"/>
        <w:numPr>
          <w:ilvl w:val="0"/>
          <w:numId w:val="1"/>
        </w:numPr>
        <w:pBdr>
          <w:top w:val="nil"/>
          <w:left w:val="nil"/>
          <w:bottom w:val="nil"/>
          <w:right w:val="nil"/>
          <w:between w:val="nil"/>
        </w:pBdr>
        <w:tabs>
          <w:tab w:val="left" w:pos="310"/>
        </w:tabs>
        <w:spacing w:before="1" w:line="252" w:lineRule="auto"/>
        <w:ind w:left="309" w:hanging="198"/>
        <w:jc w:val="both"/>
        <w:rPr>
          <w:color w:val="000000"/>
        </w:rPr>
      </w:pPr>
      <w:r>
        <w:rPr>
          <w:color w:val="000000"/>
          <w:sz w:val="24"/>
          <w:szCs w:val="24"/>
        </w:rPr>
        <w:t>mancata allegazione della copia del documento d’identità del candidato, ove richiesta;</w:t>
      </w:r>
    </w:p>
    <w:p w14:paraId="0000002B" w14:textId="77777777" w:rsidR="00E23256" w:rsidRDefault="001356B0">
      <w:pPr>
        <w:widowControl w:val="0"/>
        <w:numPr>
          <w:ilvl w:val="0"/>
          <w:numId w:val="1"/>
        </w:numPr>
        <w:pBdr>
          <w:top w:val="nil"/>
          <w:left w:val="nil"/>
          <w:bottom w:val="nil"/>
          <w:right w:val="nil"/>
          <w:between w:val="nil"/>
        </w:pBdr>
        <w:tabs>
          <w:tab w:val="left" w:pos="370"/>
        </w:tabs>
        <w:spacing w:line="252" w:lineRule="auto"/>
        <w:ind w:left="369" w:hanging="258"/>
        <w:jc w:val="both"/>
        <w:rPr>
          <w:color w:val="000000"/>
        </w:rPr>
      </w:pPr>
      <w:r>
        <w:rPr>
          <w:color w:val="000000"/>
          <w:sz w:val="24"/>
          <w:szCs w:val="24"/>
        </w:rPr>
        <w:t>mancanza dei requisiti richiesti;</w:t>
      </w:r>
    </w:p>
    <w:p w14:paraId="0000002C" w14:textId="77777777" w:rsidR="00E23256" w:rsidRDefault="001356B0">
      <w:pPr>
        <w:widowControl w:val="0"/>
        <w:numPr>
          <w:ilvl w:val="0"/>
          <w:numId w:val="1"/>
        </w:numPr>
        <w:pBdr>
          <w:top w:val="nil"/>
          <w:left w:val="nil"/>
          <w:bottom w:val="nil"/>
          <w:right w:val="nil"/>
          <w:between w:val="nil"/>
        </w:pBdr>
        <w:tabs>
          <w:tab w:val="left" w:pos="372"/>
        </w:tabs>
        <w:spacing w:line="252" w:lineRule="auto"/>
        <w:jc w:val="both"/>
        <w:rPr>
          <w:color w:val="000000"/>
        </w:rPr>
      </w:pPr>
      <w:r>
        <w:rPr>
          <w:color w:val="000000"/>
          <w:sz w:val="24"/>
          <w:szCs w:val="24"/>
        </w:rPr>
        <w:t>rinuncia del candidato.</w:t>
      </w:r>
    </w:p>
    <w:p w14:paraId="0000002D" w14:textId="77777777" w:rsidR="00E23256" w:rsidRDefault="00E23256">
      <w:pPr>
        <w:tabs>
          <w:tab w:val="left" w:pos="372"/>
        </w:tabs>
        <w:spacing w:line="252" w:lineRule="auto"/>
        <w:jc w:val="both"/>
        <w:rPr>
          <w:sz w:val="24"/>
          <w:szCs w:val="24"/>
        </w:rPr>
      </w:pPr>
    </w:p>
    <w:p w14:paraId="0000002E" w14:textId="117C36A7" w:rsidR="00E23256" w:rsidRDefault="001356B0">
      <w:pPr>
        <w:jc w:val="both"/>
        <w:rPr>
          <w:sz w:val="24"/>
          <w:szCs w:val="24"/>
          <w:u w:val="single"/>
        </w:rPr>
      </w:pPr>
      <w:r>
        <w:rPr>
          <w:sz w:val="24"/>
          <w:szCs w:val="24"/>
          <w:u w:val="single"/>
        </w:rPr>
        <w:t>L’iscrizione nell’ Elenco avviene in ordine alfabetico ed è subordinata alla valutazione positiva della domanda e dell’allegata documentazione trasmessa</w:t>
      </w:r>
    </w:p>
    <w:p w14:paraId="0000002F" w14:textId="77777777" w:rsidR="00E23256" w:rsidRDefault="00E23256">
      <w:pPr>
        <w:pBdr>
          <w:top w:val="nil"/>
          <w:left w:val="nil"/>
          <w:bottom w:val="nil"/>
          <w:right w:val="nil"/>
          <w:between w:val="nil"/>
        </w:pBdr>
        <w:spacing w:before="9" w:after="120"/>
        <w:jc w:val="both"/>
        <w:rPr>
          <w:color w:val="000000"/>
          <w:sz w:val="24"/>
          <w:szCs w:val="24"/>
          <w:u w:val="single"/>
        </w:rPr>
      </w:pPr>
    </w:p>
    <w:p w14:paraId="00000030" w14:textId="77777777" w:rsidR="00E23256" w:rsidRDefault="001356B0">
      <w:pPr>
        <w:pStyle w:val="Titolo1"/>
        <w:jc w:val="left"/>
        <w:rPr>
          <w:b/>
        </w:rPr>
      </w:pPr>
      <w:r>
        <w:rPr>
          <w:b/>
        </w:rPr>
        <w:t xml:space="preserve">Art. </w:t>
      </w:r>
      <w:proofErr w:type="gramStart"/>
      <w:r>
        <w:rPr>
          <w:b/>
        </w:rPr>
        <w:t>8  –</w:t>
      </w:r>
      <w:proofErr w:type="gramEnd"/>
      <w:r>
        <w:rPr>
          <w:b/>
        </w:rPr>
        <w:t xml:space="preserve"> Iscrizione nell’elenco dei gestori della crisi</w:t>
      </w:r>
    </w:p>
    <w:p w14:paraId="00000031" w14:textId="7A887D5A" w:rsidR="00E23256" w:rsidRDefault="001356B0">
      <w:pPr>
        <w:pBdr>
          <w:top w:val="nil"/>
          <w:left w:val="nil"/>
          <w:bottom w:val="nil"/>
          <w:right w:val="nil"/>
          <w:between w:val="nil"/>
        </w:pBdr>
        <w:spacing w:before="2" w:after="120"/>
        <w:ind w:right="102"/>
        <w:jc w:val="both"/>
        <w:rPr>
          <w:color w:val="000000"/>
          <w:sz w:val="24"/>
          <w:szCs w:val="24"/>
        </w:rPr>
      </w:pPr>
      <w:r>
        <w:rPr>
          <w:color w:val="000000"/>
          <w:sz w:val="24"/>
          <w:szCs w:val="24"/>
        </w:rPr>
        <w:t xml:space="preserve">I partecipanti che risulteranno in possesso dei requisiti prescritti, che non incorrano in cause di esclusione e che si saranno collocati in una posizione utile della graduatoria non matureranno alcun diritto all’iscrizione nell’elenco. Essi saranno semplicemente ammessi alla procedura di iscrizione nel rispetto di quanto stabilito dal D.M. n. 202/2014, restando inteso che, ai fini dell’inoltro al Ministero della Giustizia della domanda di iscrizione nell’Elenco, </w:t>
      </w:r>
      <w:r>
        <w:rPr>
          <w:color w:val="000000"/>
          <w:sz w:val="24"/>
          <w:szCs w:val="24"/>
          <w:u w:val="single"/>
        </w:rPr>
        <w:t xml:space="preserve">gli interessati saranno avvisati tramite posta elettronica e dovranno </w:t>
      </w:r>
      <w:proofErr w:type="gramStart"/>
      <w:r>
        <w:rPr>
          <w:color w:val="000000"/>
          <w:sz w:val="24"/>
          <w:szCs w:val="24"/>
          <w:u w:val="single"/>
        </w:rPr>
        <w:t xml:space="preserve">produrre </w:t>
      </w:r>
      <w:r>
        <w:rPr>
          <w:color w:val="000000"/>
          <w:sz w:val="24"/>
          <w:szCs w:val="24"/>
        </w:rPr>
        <w:t xml:space="preserve"> </w:t>
      </w:r>
      <w:r>
        <w:rPr>
          <w:color w:val="000000"/>
          <w:sz w:val="24"/>
          <w:szCs w:val="24"/>
          <w:u w:val="single"/>
        </w:rPr>
        <w:t>gli</w:t>
      </w:r>
      <w:proofErr w:type="gramEnd"/>
      <w:r>
        <w:rPr>
          <w:color w:val="000000"/>
          <w:sz w:val="24"/>
          <w:szCs w:val="24"/>
          <w:u w:val="single"/>
        </w:rPr>
        <w:t xml:space="preserve"> originali o le copie conformi della documentazione attestante il possesso dei requisiti di qualificazione professionale</w:t>
      </w:r>
      <w:r w:rsidR="001055B9">
        <w:rPr>
          <w:color w:val="000000"/>
          <w:sz w:val="24"/>
          <w:szCs w:val="24"/>
          <w:u w:val="single"/>
        </w:rPr>
        <w:t>, ove  non siano già stati allegati alla domanda di iscrizione</w:t>
      </w:r>
    </w:p>
    <w:p w14:paraId="00000032" w14:textId="77777777" w:rsidR="00E23256" w:rsidRDefault="001356B0">
      <w:pPr>
        <w:pBdr>
          <w:top w:val="nil"/>
          <w:left w:val="nil"/>
          <w:bottom w:val="nil"/>
          <w:right w:val="nil"/>
          <w:between w:val="nil"/>
        </w:pBdr>
        <w:spacing w:after="120"/>
        <w:ind w:right="103"/>
        <w:jc w:val="both"/>
        <w:rPr>
          <w:color w:val="000000"/>
          <w:sz w:val="24"/>
          <w:szCs w:val="24"/>
        </w:rPr>
      </w:pPr>
      <w:r>
        <w:rPr>
          <w:color w:val="000000"/>
          <w:sz w:val="24"/>
          <w:szCs w:val="24"/>
        </w:rPr>
        <w:lastRenderedPageBreak/>
        <w:t xml:space="preserve">Ai sensi del suddetto Decreto Ministeriale, spetta esclusivamente al Responsabile del Registro degli Organismi deputati a gestire i procedimenti di composizione delle crisi da sovraindebitamento e di liquidazione del patrimonio del debitore </w:t>
      </w:r>
      <w:proofErr w:type="spellStart"/>
      <w:r>
        <w:rPr>
          <w:color w:val="000000"/>
          <w:sz w:val="24"/>
          <w:szCs w:val="24"/>
        </w:rPr>
        <w:t>sovraindebitato</w:t>
      </w:r>
      <w:proofErr w:type="spellEnd"/>
      <w:r>
        <w:rPr>
          <w:color w:val="000000"/>
          <w:sz w:val="24"/>
          <w:szCs w:val="24"/>
        </w:rPr>
        <w:t>, istituito presso il Ministero della Giustizia, la verifica della sussistenza dei requisiti richiesti per l’iscrizione dei gestori all’elenco.</w:t>
      </w:r>
    </w:p>
    <w:p w14:paraId="00000033" w14:textId="77777777" w:rsidR="00E23256" w:rsidRDefault="00E23256">
      <w:pPr>
        <w:pBdr>
          <w:top w:val="nil"/>
          <w:left w:val="nil"/>
          <w:bottom w:val="nil"/>
          <w:right w:val="nil"/>
          <w:between w:val="nil"/>
        </w:pBdr>
        <w:spacing w:after="120"/>
        <w:ind w:right="103"/>
        <w:rPr>
          <w:color w:val="000000"/>
          <w:sz w:val="24"/>
          <w:szCs w:val="24"/>
        </w:rPr>
      </w:pPr>
    </w:p>
    <w:p w14:paraId="00000034" w14:textId="77777777" w:rsidR="00E23256" w:rsidRDefault="001356B0">
      <w:pPr>
        <w:pBdr>
          <w:top w:val="nil"/>
          <w:left w:val="nil"/>
          <w:bottom w:val="nil"/>
          <w:right w:val="nil"/>
          <w:between w:val="nil"/>
        </w:pBdr>
        <w:spacing w:after="120"/>
        <w:ind w:right="103"/>
        <w:jc w:val="both"/>
        <w:rPr>
          <w:color w:val="000000"/>
          <w:sz w:val="24"/>
          <w:szCs w:val="24"/>
        </w:rPr>
      </w:pPr>
      <w:r>
        <w:rPr>
          <w:color w:val="000000"/>
          <w:sz w:val="24"/>
          <w:szCs w:val="24"/>
        </w:rPr>
        <w:t>L’eventuale iscrizione verrà pertanto perfezionata soltanto dopo il vaglio del Responsabile del Registro presso il Ministero della Giustizia. Il mancato riconoscimento dei requisiti da parte del Ministero della Giustizia comporta l’impossibilità dell’iscrizione del candidato nell’elenco dei gestori della crisi. ASSET Basilicata non sarà in alcun modo responsabile del mancato riconoscimento dei requisiti e dell’eventuale conseguente impossibilità di iscrizione nell’elenco dei gestori della crisi.</w:t>
      </w:r>
    </w:p>
    <w:p w14:paraId="00000035" w14:textId="77777777" w:rsidR="00E23256" w:rsidRDefault="00E23256">
      <w:pPr>
        <w:pBdr>
          <w:top w:val="nil"/>
          <w:left w:val="nil"/>
          <w:bottom w:val="nil"/>
          <w:right w:val="nil"/>
          <w:between w:val="nil"/>
        </w:pBdr>
        <w:spacing w:before="9" w:after="120"/>
        <w:rPr>
          <w:color w:val="000000"/>
          <w:sz w:val="24"/>
          <w:szCs w:val="24"/>
        </w:rPr>
      </w:pPr>
    </w:p>
    <w:p w14:paraId="00000036" w14:textId="77777777" w:rsidR="00E23256" w:rsidRDefault="001356B0">
      <w:pPr>
        <w:pStyle w:val="Titolo1"/>
        <w:spacing w:before="1"/>
        <w:jc w:val="left"/>
        <w:rPr>
          <w:b/>
        </w:rPr>
      </w:pPr>
      <w:r>
        <w:rPr>
          <w:b/>
        </w:rPr>
        <w:t>Art. 9 – Effetti dell’iscrizione nell’elenco dei gestori della crisi</w:t>
      </w:r>
    </w:p>
    <w:p w14:paraId="00000037" w14:textId="77777777" w:rsidR="00E23256" w:rsidRDefault="001356B0">
      <w:pPr>
        <w:pBdr>
          <w:top w:val="nil"/>
          <w:left w:val="nil"/>
          <w:bottom w:val="nil"/>
          <w:right w:val="nil"/>
          <w:between w:val="nil"/>
        </w:pBdr>
        <w:spacing w:before="1" w:after="120"/>
        <w:rPr>
          <w:color w:val="000000"/>
          <w:sz w:val="24"/>
          <w:szCs w:val="24"/>
        </w:rPr>
      </w:pPr>
      <w:r>
        <w:rPr>
          <w:color w:val="000000"/>
          <w:sz w:val="24"/>
          <w:szCs w:val="24"/>
        </w:rPr>
        <w:t>L’inserimento nell’elenco dei gestori della crisi non determina la stipulazione di alcun contratto di lavoro con l’ente di riferimento.</w:t>
      </w:r>
    </w:p>
    <w:p w14:paraId="00000038" w14:textId="77777777" w:rsidR="00E23256" w:rsidRDefault="001356B0">
      <w:pPr>
        <w:pBdr>
          <w:top w:val="nil"/>
          <w:left w:val="nil"/>
          <w:bottom w:val="nil"/>
          <w:right w:val="nil"/>
          <w:between w:val="nil"/>
        </w:pBdr>
        <w:spacing w:after="120"/>
        <w:rPr>
          <w:color w:val="000000"/>
          <w:sz w:val="24"/>
          <w:szCs w:val="24"/>
        </w:rPr>
      </w:pPr>
      <w:r>
        <w:rPr>
          <w:color w:val="000000"/>
          <w:sz w:val="24"/>
          <w:szCs w:val="24"/>
        </w:rPr>
        <w:t>L’attività di gestore della crisi verrà svolta previo specifico incarico affidato dall’Organismo e solo in base alle specifiche necessità di questo.</w:t>
      </w:r>
    </w:p>
    <w:p w14:paraId="00000039" w14:textId="77777777" w:rsidR="00E23256" w:rsidRDefault="001356B0">
      <w:pPr>
        <w:pBdr>
          <w:top w:val="nil"/>
          <w:left w:val="nil"/>
          <w:bottom w:val="nil"/>
          <w:right w:val="nil"/>
          <w:between w:val="nil"/>
        </w:pBdr>
        <w:spacing w:before="8" w:after="120"/>
        <w:jc w:val="both"/>
        <w:rPr>
          <w:color w:val="FF0000"/>
          <w:sz w:val="24"/>
          <w:szCs w:val="24"/>
        </w:rPr>
      </w:pPr>
      <w:r>
        <w:rPr>
          <w:color w:val="000000"/>
          <w:sz w:val="24"/>
          <w:szCs w:val="24"/>
        </w:rPr>
        <w:t xml:space="preserve">I Gestori   saranno iscritti e opereranno, in via principale, presso le sedi di Matera e di Potenza in base all’appartenenza territoriale </w:t>
      </w:r>
      <w:proofErr w:type="gramStart"/>
      <w:r>
        <w:rPr>
          <w:color w:val="000000"/>
          <w:sz w:val="24"/>
          <w:szCs w:val="24"/>
        </w:rPr>
        <w:t>dei  rispettivi</w:t>
      </w:r>
      <w:proofErr w:type="gramEnd"/>
      <w:r>
        <w:rPr>
          <w:color w:val="000000"/>
          <w:sz w:val="24"/>
          <w:szCs w:val="24"/>
        </w:rPr>
        <w:t xml:space="preserve">  ordini professionali  e  dovranno dichiarare formalmente la propria disponibilità ad operare per l’Azienda Speciale  e a prestare la propria opera in base alle necessità stabilite dall’Azienda stessa anche rispetto alla diversa sede di attività rispetto a quella di competenza territoriale . </w:t>
      </w:r>
    </w:p>
    <w:p w14:paraId="0000003A" w14:textId="77777777" w:rsidR="00E23256" w:rsidRDefault="00E23256">
      <w:pPr>
        <w:pStyle w:val="Titolo1"/>
        <w:jc w:val="left"/>
      </w:pPr>
    </w:p>
    <w:p w14:paraId="0000003B" w14:textId="77777777" w:rsidR="00E23256" w:rsidRDefault="001356B0">
      <w:pPr>
        <w:pStyle w:val="Titolo1"/>
        <w:jc w:val="left"/>
        <w:rPr>
          <w:b/>
        </w:rPr>
      </w:pPr>
      <w:r>
        <w:rPr>
          <w:b/>
        </w:rPr>
        <w:t>Art. 10 – Disposizioni finali</w:t>
      </w:r>
    </w:p>
    <w:p w14:paraId="0000003C" w14:textId="77777777" w:rsidR="00E23256" w:rsidRDefault="001356B0">
      <w:pPr>
        <w:pBdr>
          <w:top w:val="nil"/>
          <w:left w:val="nil"/>
          <w:bottom w:val="nil"/>
          <w:right w:val="nil"/>
          <w:between w:val="nil"/>
        </w:pBdr>
        <w:spacing w:before="2" w:after="120"/>
        <w:ind w:right="105"/>
        <w:jc w:val="both"/>
        <w:rPr>
          <w:color w:val="000000"/>
          <w:sz w:val="24"/>
          <w:szCs w:val="24"/>
        </w:rPr>
      </w:pPr>
      <w:bookmarkStart w:id="4" w:name="_i38bv9o3g9ry" w:colFirst="0" w:colLast="0"/>
      <w:bookmarkEnd w:id="4"/>
      <w:r>
        <w:rPr>
          <w:color w:val="000000"/>
          <w:sz w:val="24"/>
          <w:szCs w:val="24"/>
        </w:rPr>
        <w:t>Tutti i requisiti richiesti dovranno essere posseduti alla data di presentazione della domanda e rimanere sussistenti per l’intero periodo di iscrizione.</w:t>
      </w:r>
    </w:p>
    <w:p w14:paraId="0000003D" w14:textId="77777777" w:rsidR="00E23256" w:rsidRDefault="001356B0">
      <w:pPr>
        <w:pBdr>
          <w:top w:val="nil"/>
          <w:left w:val="nil"/>
          <w:bottom w:val="nil"/>
          <w:right w:val="nil"/>
          <w:between w:val="nil"/>
        </w:pBdr>
        <w:spacing w:after="120"/>
        <w:ind w:right="108"/>
        <w:jc w:val="both"/>
        <w:rPr>
          <w:color w:val="000000"/>
          <w:sz w:val="24"/>
          <w:szCs w:val="24"/>
        </w:rPr>
      </w:pPr>
      <w:r>
        <w:rPr>
          <w:color w:val="000000"/>
          <w:sz w:val="24"/>
          <w:szCs w:val="24"/>
        </w:rPr>
        <w:t>Qualora venisse meno uno dei requisiti richiesti per l’iscrizione, l’Organismo avvierà un procedimento di cancellazione dell’iscritto dall’elenco.</w:t>
      </w:r>
    </w:p>
    <w:p w14:paraId="0000003E" w14:textId="77777777" w:rsidR="00E23256" w:rsidRDefault="001356B0">
      <w:pPr>
        <w:pBdr>
          <w:top w:val="nil"/>
          <w:left w:val="nil"/>
          <w:bottom w:val="nil"/>
          <w:right w:val="nil"/>
          <w:between w:val="nil"/>
        </w:pBdr>
        <w:spacing w:after="120"/>
        <w:ind w:right="108"/>
        <w:jc w:val="both"/>
        <w:rPr>
          <w:color w:val="000000"/>
          <w:sz w:val="24"/>
          <w:szCs w:val="24"/>
        </w:rPr>
      </w:pPr>
      <w:r>
        <w:rPr>
          <w:color w:val="000000"/>
          <w:sz w:val="24"/>
          <w:szCs w:val="24"/>
        </w:rPr>
        <w:t>Con la presentazione della domanda di iscrizione, il candidato accetta integralmente le regole della presente procedura di selezione.</w:t>
      </w:r>
    </w:p>
    <w:p w14:paraId="0000003F" w14:textId="77777777" w:rsidR="00E23256" w:rsidRDefault="001356B0">
      <w:pPr>
        <w:pBdr>
          <w:top w:val="nil"/>
          <w:left w:val="nil"/>
          <w:bottom w:val="nil"/>
          <w:right w:val="nil"/>
          <w:between w:val="nil"/>
        </w:pBdr>
        <w:spacing w:after="120"/>
        <w:ind w:right="105"/>
        <w:jc w:val="both"/>
        <w:rPr>
          <w:color w:val="000000"/>
          <w:sz w:val="24"/>
          <w:szCs w:val="24"/>
        </w:rPr>
      </w:pPr>
      <w:r>
        <w:rPr>
          <w:color w:val="000000"/>
          <w:sz w:val="24"/>
          <w:szCs w:val="24"/>
        </w:rPr>
        <w:t>In ogni caso ASSET Basilicata si riserva, qualora ne ravvisi la necessità, di modificare, prorogare i termini o revocare il presente bando, in conformità a quanto previsto dalla normativa vigente.</w:t>
      </w:r>
    </w:p>
    <w:p w14:paraId="00000040" w14:textId="77777777" w:rsidR="00E23256" w:rsidRDefault="00E23256">
      <w:pPr>
        <w:pBdr>
          <w:top w:val="nil"/>
          <w:left w:val="nil"/>
          <w:bottom w:val="nil"/>
          <w:right w:val="nil"/>
          <w:between w:val="nil"/>
        </w:pBdr>
        <w:spacing w:after="120"/>
        <w:ind w:right="105"/>
        <w:rPr>
          <w:b/>
          <w:color w:val="000000"/>
          <w:sz w:val="24"/>
          <w:szCs w:val="24"/>
        </w:rPr>
      </w:pPr>
    </w:p>
    <w:p w14:paraId="00000041" w14:textId="77777777" w:rsidR="00E23256" w:rsidRDefault="001356B0">
      <w:pPr>
        <w:pBdr>
          <w:top w:val="nil"/>
          <w:left w:val="nil"/>
          <w:bottom w:val="nil"/>
          <w:right w:val="nil"/>
          <w:between w:val="nil"/>
        </w:pBdr>
        <w:spacing w:after="120"/>
        <w:ind w:right="105"/>
        <w:rPr>
          <w:b/>
          <w:color w:val="000000"/>
          <w:sz w:val="24"/>
          <w:szCs w:val="24"/>
        </w:rPr>
      </w:pPr>
      <w:bookmarkStart w:id="5" w:name="_nuhtymuh4zx4" w:colFirst="0" w:colLast="0"/>
      <w:bookmarkEnd w:id="5"/>
      <w:r>
        <w:rPr>
          <w:b/>
          <w:color w:val="000000"/>
          <w:sz w:val="24"/>
          <w:szCs w:val="24"/>
        </w:rPr>
        <w:t>______________________________________</w:t>
      </w:r>
    </w:p>
    <w:p w14:paraId="63EFDFC1" w14:textId="77777777" w:rsidR="006A6751" w:rsidRDefault="006A6751" w:rsidP="006A6751">
      <w:pPr>
        <w:jc w:val="center"/>
        <w:rPr>
          <w:rFonts w:ascii="Trade Gothic LT Std Light" w:eastAsiaTheme="minorHAnsi" w:hAnsi="Trade Gothic LT Std Light" w:cstheme="minorBidi"/>
          <w:b/>
          <w:sz w:val="18"/>
          <w:szCs w:val="18"/>
          <w:u w:val="single"/>
          <w:lang w:eastAsia="en-US"/>
        </w:rPr>
      </w:pPr>
      <w:bookmarkStart w:id="6" w:name="_Hlk205540035"/>
      <w:r>
        <w:rPr>
          <w:rFonts w:ascii="Trade Gothic LT Std Light" w:eastAsiaTheme="minorHAnsi" w:hAnsi="Trade Gothic LT Std Light" w:cstheme="minorBidi"/>
          <w:b/>
          <w:sz w:val="18"/>
          <w:szCs w:val="18"/>
          <w:u w:val="single"/>
          <w:lang w:eastAsia="en-US"/>
        </w:rPr>
        <w:t>ATTO DI INFORMAZIONE EX ART. 13 DEL REGOLAMENTO UE N. 2016/679</w:t>
      </w:r>
    </w:p>
    <w:p w14:paraId="0467EC79" w14:textId="77777777" w:rsidR="006A6751" w:rsidRDefault="006A6751" w:rsidP="006A6751">
      <w:pPr>
        <w:jc w:val="center"/>
        <w:rPr>
          <w:rFonts w:ascii="Trade Gothic LT Std Light" w:eastAsiaTheme="minorHAnsi" w:hAnsi="Trade Gothic LT Std Light" w:cstheme="minorBidi"/>
          <w:b/>
          <w:i/>
          <w:sz w:val="18"/>
          <w:szCs w:val="18"/>
          <w:lang w:eastAsia="en-US"/>
        </w:rPr>
      </w:pPr>
      <w:r w:rsidRPr="00D30C5C">
        <w:rPr>
          <w:rFonts w:ascii="Trade Gothic LT Std Light" w:eastAsiaTheme="minorHAnsi" w:hAnsi="Trade Gothic LT Std Light" w:cstheme="minorBidi"/>
          <w:b/>
          <w:i/>
          <w:sz w:val="18"/>
          <w:szCs w:val="18"/>
          <w:lang w:eastAsia="en-US"/>
        </w:rPr>
        <w:t>– ORGANISMO DI COMPOSIZIONE DELLA CRISI DA SOVRAINDEBITAMENTO (OCC) –</w:t>
      </w:r>
    </w:p>
    <w:p w14:paraId="21E78D04" w14:textId="77777777" w:rsidR="006A6751" w:rsidRDefault="006A6751" w:rsidP="006A6751">
      <w:pPr>
        <w:jc w:val="both"/>
        <w:rPr>
          <w:rFonts w:ascii="Trade Gothic LT Std Light" w:eastAsiaTheme="minorHAnsi" w:hAnsi="Trade Gothic LT Std Light" w:cstheme="minorBidi"/>
          <w:sz w:val="18"/>
          <w:szCs w:val="18"/>
          <w:lang w:eastAsia="en-US"/>
        </w:rPr>
      </w:pPr>
    </w:p>
    <w:p w14:paraId="4B1988A0" w14:textId="77777777" w:rsidR="006A6751" w:rsidRDefault="006A6751" w:rsidP="006A6751">
      <w:pPr>
        <w:jc w:val="both"/>
        <w:rPr>
          <w:rFonts w:ascii="Trade Gothic LT Std Light" w:eastAsiaTheme="minorHAnsi" w:hAnsi="Trade Gothic LT Std Light" w:cstheme="minorBidi"/>
          <w:sz w:val="18"/>
          <w:szCs w:val="18"/>
          <w:lang w:eastAsia="en-US"/>
        </w:rPr>
      </w:pPr>
      <w:r>
        <w:rPr>
          <w:rFonts w:ascii="Trade Gothic LT Std Light" w:hAnsi="Trade Gothic LT Std Light"/>
          <w:b/>
          <w:sz w:val="18"/>
          <w:szCs w:val="18"/>
        </w:rPr>
        <w:t>AZIENDA SPECIALE SVILUPPO ECONOMICO E TERRITORIALE DELLA BASILICATA</w:t>
      </w:r>
      <w:r>
        <w:rPr>
          <w:rFonts w:ascii="Trade Gothic LT Std Light" w:hAnsi="Trade Gothic LT Std Light"/>
          <w:sz w:val="18"/>
          <w:szCs w:val="18"/>
        </w:rPr>
        <w:t>, (C. f. e P. IVA: 00460310774) (infra “ASSET”), in persona del suo legale rappresentante pro tempore, con sede legale in Matera, via Lucana, 82,</w:t>
      </w:r>
      <w:r>
        <w:rPr>
          <w:rFonts w:ascii="Trade Gothic LT Std Light" w:eastAsiaTheme="minorHAnsi" w:hAnsi="Trade Gothic LT Std Light" w:cstheme="minorBidi"/>
          <w:sz w:val="18"/>
          <w:szCs w:val="18"/>
          <w:lang w:eastAsia="en-US"/>
        </w:rPr>
        <w:t xml:space="preserve"> in qualità di Titolare del trattamento ex artt. 4 n. 7) e 24 del Regolamento UE n. 2016/679 (GDPR), ti informa, ai sensi dell’art. 13 del GDPR, che le tue informazioni meglio descritte all’art. 1 saranno trattate per l’esecuzione delle finalità di cui all’art. 2. </w:t>
      </w:r>
    </w:p>
    <w:p w14:paraId="2D9B487A" w14:textId="77777777" w:rsidR="006A6751" w:rsidRDefault="006A6751" w:rsidP="006A6751">
      <w:pPr>
        <w:jc w:val="both"/>
        <w:rPr>
          <w:rFonts w:ascii="Trade Gothic LT Std Light" w:eastAsiaTheme="minorHAnsi" w:hAnsi="Trade Gothic LT Std Light" w:cstheme="minorBidi"/>
          <w:sz w:val="18"/>
          <w:szCs w:val="18"/>
          <w:lang w:eastAsia="en-US"/>
        </w:rPr>
      </w:pPr>
    </w:p>
    <w:p w14:paraId="39384ECE" w14:textId="77777777" w:rsidR="006A6751" w:rsidRDefault="006A6751" w:rsidP="006A6751">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b/>
          <w:sz w:val="18"/>
          <w:szCs w:val="18"/>
          <w:lang w:eastAsia="en-US"/>
        </w:rPr>
        <w:t>1. Categorie dei dati oggetto di trattamento.</w:t>
      </w:r>
    </w:p>
    <w:p w14:paraId="4034108C" w14:textId="77777777" w:rsidR="006A6751" w:rsidRDefault="006A6751" w:rsidP="006A6751">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b/>
          <w:sz w:val="18"/>
          <w:szCs w:val="18"/>
          <w:lang w:eastAsia="en-US"/>
        </w:rPr>
        <w:t>1.1.</w:t>
      </w:r>
      <w:r>
        <w:rPr>
          <w:rFonts w:ascii="Trade Gothic LT Std Light" w:eastAsiaTheme="minorHAnsi" w:hAnsi="Trade Gothic LT Std Light" w:cstheme="minorBidi"/>
          <w:sz w:val="18"/>
          <w:szCs w:val="18"/>
          <w:lang w:eastAsia="en-US"/>
        </w:rPr>
        <w:t xml:space="preserve"> ASSET raccoglie e tratta, al fine di perseguire le finalità di trattamento descritte all’art. 2, le tue seguenti informazioni: (i) </w:t>
      </w:r>
      <w:r w:rsidRPr="009F7691">
        <w:rPr>
          <w:rFonts w:ascii="Trade Gothic LT Std Light" w:eastAsiaTheme="minorHAnsi" w:hAnsi="Trade Gothic LT Std Light" w:cstheme="minorBidi"/>
          <w:sz w:val="18"/>
          <w:szCs w:val="18"/>
          <w:lang w:eastAsia="en-US"/>
        </w:rPr>
        <w:t>dati personali ex art. 4 n. 1) del GDPR cd. identificativi (es. nome; cognome; data e luogo di nascita; codice fiscale;</w:t>
      </w:r>
      <w:r>
        <w:rPr>
          <w:rFonts w:ascii="Trade Gothic LT Std Light" w:eastAsiaTheme="minorHAnsi" w:hAnsi="Trade Gothic LT Std Light" w:cstheme="minorBidi"/>
          <w:sz w:val="18"/>
          <w:szCs w:val="18"/>
          <w:lang w:eastAsia="en-US"/>
        </w:rPr>
        <w:t xml:space="preserve"> partita iva;</w:t>
      </w:r>
      <w:r w:rsidRPr="009F7691">
        <w:rPr>
          <w:rFonts w:ascii="Trade Gothic LT Std Light" w:eastAsiaTheme="minorHAnsi" w:hAnsi="Trade Gothic LT Std Light" w:cstheme="minorBidi"/>
          <w:sz w:val="18"/>
          <w:szCs w:val="18"/>
          <w:lang w:eastAsia="en-US"/>
        </w:rPr>
        <w:t xml:space="preserve"> indirizzo di residenza/domicilio/dimora; numero di telefono; indirizzo e-mail; </w:t>
      </w:r>
      <w:r>
        <w:rPr>
          <w:rFonts w:ascii="Trade Gothic LT Std Light" w:eastAsiaTheme="minorHAnsi" w:hAnsi="Trade Gothic LT Std Light" w:cstheme="minorBidi"/>
          <w:sz w:val="18"/>
          <w:szCs w:val="18"/>
          <w:lang w:eastAsia="en-US"/>
        </w:rPr>
        <w:t xml:space="preserve">indirizzo PEC; </w:t>
      </w:r>
      <w:r w:rsidRPr="009F7691">
        <w:rPr>
          <w:rFonts w:ascii="Trade Gothic LT Std Light" w:eastAsiaTheme="minorHAnsi" w:hAnsi="Trade Gothic LT Std Light" w:cstheme="minorBidi"/>
          <w:sz w:val="18"/>
          <w:szCs w:val="18"/>
          <w:lang w:eastAsia="en-US"/>
        </w:rPr>
        <w:t xml:space="preserve">immagine video/fotografica) (infra </w:t>
      </w:r>
      <w:r w:rsidRPr="00E557DC">
        <w:rPr>
          <w:rFonts w:ascii="Trade Gothic LT Std Light" w:eastAsiaTheme="minorHAnsi" w:hAnsi="Trade Gothic LT Std Light" w:cstheme="minorBidi"/>
          <w:sz w:val="18"/>
          <w:szCs w:val="18"/>
          <w:lang w:eastAsia="en-US"/>
        </w:rPr>
        <w:t>“dati personali”)</w:t>
      </w:r>
      <w:r>
        <w:rPr>
          <w:rFonts w:ascii="Trade Gothic LT Std Light" w:eastAsiaTheme="minorHAnsi" w:hAnsi="Trade Gothic LT Std Light" w:cstheme="minorBidi"/>
          <w:sz w:val="18"/>
          <w:szCs w:val="18"/>
          <w:lang w:eastAsia="en-US"/>
        </w:rPr>
        <w:t xml:space="preserve">; </w:t>
      </w:r>
      <w:r>
        <w:rPr>
          <w:rFonts w:ascii="Trade Gothic LT Std Light" w:eastAsiaTheme="minorHAnsi" w:hAnsi="Trade Gothic LT Std Light" w:cstheme="minorBidi"/>
          <w:sz w:val="18"/>
          <w:szCs w:val="18"/>
          <w:lang w:eastAsia="en-US"/>
        </w:rPr>
        <w:lastRenderedPageBreak/>
        <w:t>(ii) ove necessario, dati personali cd. particolari ex art. 9 paragrafo 1) del GDPR (infra “dati personali cd. particolari”); (iii) ove necessario, dati personali cd. giudiziari ex art. 10 del GDPR (infra “dati personali cd. giudiziari”).</w:t>
      </w:r>
    </w:p>
    <w:p w14:paraId="286BB14A" w14:textId="77777777" w:rsidR="006A6751" w:rsidRPr="00E557DC" w:rsidRDefault="006A6751" w:rsidP="006A6751">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sz w:val="18"/>
          <w:szCs w:val="18"/>
          <w:lang w:eastAsia="en-US"/>
        </w:rPr>
        <w:t xml:space="preserve">I dati personali e gli eventuali dati personali cd. particolari e cd. giudiziari sono, infra, denominati, soltanto come “informazioni”. </w:t>
      </w:r>
    </w:p>
    <w:p w14:paraId="467D22F9" w14:textId="77777777" w:rsidR="006A6751" w:rsidRDefault="006A6751" w:rsidP="006A6751">
      <w:pPr>
        <w:jc w:val="both"/>
        <w:rPr>
          <w:rFonts w:ascii="Trade Gothic LT Std Light" w:eastAsiaTheme="minorHAnsi" w:hAnsi="Trade Gothic LT Std Light" w:cstheme="minorBidi"/>
          <w:sz w:val="18"/>
          <w:szCs w:val="18"/>
          <w:lang w:eastAsia="en-US"/>
        </w:rPr>
      </w:pPr>
    </w:p>
    <w:p w14:paraId="49B3820C" w14:textId="77777777" w:rsidR="006A6751" w:rsidRDefault="006A6751" w:rsidP="006A6751">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b/>
          <w:sz w:val="18"/>
          <w:szCs w:val="18"/>
          <w:lang w:eastAsia="en-US"/>
        </w:rPr>
        <w:t>2. Finalità di trattamento e relativa base giuridica.</w:t>
      </w:r>
    </w:p>
    <w:p w14:paraId="0690ED2A" w14:textId="77777777" w:rsidR="006A6751" w:rsidRDefault="006A6751" w:rsidP="006A6751">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b/>
          <w:sz w:val="18"/>
          <w:szCs w:val="18"/>
          <w:lang w:eastAsia="en-US"/>
        </w:rPr>
        <w:t>2.1.</w:t>
      </w:r>
      <w:r>
        <w:rPr>
          <w:rFonts w:ascii="Trade Gothic LT Std Light" w:eastAsiaTheme="minorHAnsi" w:hAnsi="Trade Gothic LT Std Light" w:cstheme="minorBidi"/>
          <w:sz w:val="18"/>
          <w:szCs w:val="18"/>
          <w:lang w:eastAsia="en-US"/>
        </w:rPr>
        <w:t xml:space="preserve"> Le tue informazioni sono trattate, da parte di ASSET, per l’esecuzione della seguente (macro) finalità di trattamento: </w:t>
      </w:r>
    </w:p>
    <w:p w14:paraId="00E71FD4" w14:textId="77777777" w:rsidR="006A6751" w:rsidRPr="004833AF" w:rsidRDefault="006A6751" w:rsidP="006A6751">
      <w:pPr>
        <w:numPr>
          <w:ilvl w:val="0"/>
          <w:numId w:val="7"/>
        </w:num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sz w:val="18"/>
          <w:szCs w:val="18"/>
          <w:lang w:eastAsia="en-US"/>
        </w:rPr>
        <w:t>Gestione della procedura di composizione della crisi da sovraindebitamento (OCC)</w:t>
      </w:r>
      <w:r w:rsidRPr="004833AF">
        <w:rPr>
          <w:rFonts w:ascii="Trade Gothic LT Std Light" w:eastAsiaTheme="minorHAnsi" w:hAnsi="Trade Gothic LT Std Light" w:cstheme="minorBidi"/>
          <w:sz w:val="18"/>
          <w:szCs w:val="18"/>
          <w:lang w:eastAsia="en-US"/>
        </w:rPr>
        <w:t xml:space="preserve">, ivi inclusa l’esecuzione dei connessi adempimenti amministrativi/normativi di varia natura. </w:t>
      </w:r>
    </w:p>
    <w:p w14:paraId="3DBCCB01" w14:textId="77777777" w:rsidR="006A6751" w:rsidRDefault="006A6751" w:rsidP="006A6751">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sz w:val="18"/>
          <w:szCs w:val="18"/>
          <w:lang w:eastAsia="en-US"/>
        </w:rPr>
        <w:t xml:space="preserve">Nel rispetto dell’art. 13 paragrafo 2) lettera e) del GDPR, ASSET precisa che l’eventuale mancata comunicazione (anche parziale) delle informazioni, richieste come obbligatorie da ASSET, può, eventualmente, determinare l’impossibilità, da parte di ASSET medesima, di eseguire, in modo corretto e compiuto, la finalità di trattamento di cui all’art. 2.1. lettera a). A tal riguardo, ASSET precisa che la base giuridica della finalità di trattamento di cui all’art. 2.1. lettera a) si rinviene nelle seguenti disposizioni normative: art. 6 paragrafo 1) lettere b) c) e) del GDPR; art. 9 paragrafo 2) lettera g) del GDPR; art. 10 del GDPR. </w:t>
      </w:r>
    </w:p>
    <w:p w14:paraId="0EC4A7AE" w14:textId="77777777" w:rsidR="006A6751" w:rsidRDefault="006A6751" w:rsidP="006A6751">
      <w:pPr>
        <w:jc w:val="both"/>
        <w:rPr>
          <w:rFonts w:ascii="Trade Gothic LT Std Light" w:eastAsiaTheme="minorHAnsi" w:hAnsi="Trade Gothic LT Std Light" w:cstheme="minorBidi"/>
          <w:bCs/>
          <w:sz w:val="18"/>
          <w:szCs w:val="18"/>
          <w:lang w:eastAsia="en-US"/>
        </w:rPr>
      </w:pPr>
      <w:r>
        <w:rPr>
          <w:rFonts w:ascii="Trade Gothic LT Std Light" w:eastAsiaTheme="minorHAnsi" w:hAnsi="Trade Gothic LT Std Light" w:cstheme="minorBidi"/>
          <w:b/>
          <w:sz w:val="18"/>
          <w:szCs w:val="18"/>
          <w:lang w:eastAsia="en-US"/>
        </w:rPr>
        <w:t xml:space="preserve">2.2. </w:t>
      </w:r>
      <w:r>
        <w:rPr>
          <w:rFonts w:ascii="Trade Gothic LT Std Light" w:eastAsiaTheme="minorHAnsi" w:hAnsi="Trade Gothic LT Std Light" w:cstheme="minorBidi"/>
          <w:bCs/>
          <w:sz w:val="18"/>
          <w:szCs w:val="18"/>
          <w:lang w:eastAsia="en-US"/>
        </w:rPr>
        <w:t xml:space="preserve">Le tue informazioni sono/possono essere trattate, da parte di ASSET, per l’esecuzione della seguente finalità di trattamento: </w:t>
      </w:r>
      <w:r>
        <w:rPr>
          <w:rFonts w:ascii="Trade Gothic LT Std Light" w:eastAsiaTheme="minorHAnsi" w:hAnsi="Trade Gothic LT Std Light" w:cstheme="minorBidi"/>
          <w:sz w:val="18"/>
          <w:szCs w:val="18"/>
          <w:lang w:eastAsia="en-US"/>
        </w:rPr>
        <w:t xml:space="preserve"> </w:t>
      </w:r>
    </w:p>
    <w:p w14:paraId="296173A3" w14:textId="77777777" w:rsidR="006A6751" w:rsidRDefault="006A6751" w:rsidP="006A6751">
      <w:pPr>
        <w:pStyle w:val="Paragrafoelenco"/>
        <w:numPr>
          <w:ilvl w:val="0"/>
          <w:numId w:val="7"/>
        </w:num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sz w:val="18"/>
          <w:szCs w:val="18"/>
          <w:lang w:eastAsia="en-US"/>
        </w:rPr>
        <w:t xml:space="preserve">Esercizio/difesa di un proprio diritto/interesse, anche in sede giudiziale/disciplinare. </w:t>
      </w:r>
    </w:p>
    <w:p w14:paraId="1A9DFB40" w14:textId="77777777" w:rsidR="006A6751" w:rsidRDefault="006A6751" w:rsidP="006A6751">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sz w:val="18"/>
          <w:szCs w:val="18"/>
          <w:lang w:eastAsia="en-US"/>
        </w:rPr>
        <w:t xml:space="preserve">Nel rispetto dell’art. 13 paragrafo 1) lettera d) del GDPR, ASSET precisa che l’”interesse legittimo” perseguito, ove necessario ed opportuno, mediante questa operazione di trattamento, consiste nella tutela di un proprio diritto/interesse, anche in sede giudiziale, dinnanzi a potenziali (o presunte) condotte ritenute illegittime: in merito, ASSET precisa, nel rispetto del paragrafo 1.3) del Provvedimento n. 146 del 5.6.2019 a firma del Garante Privacy italiano, che, a tal fine, deve trattarsi di un contenzioso in atto ovvero di una situazione di precontenzioso. A tal riguardo, ASSET precisa che la base giuridica della finalità di trattamento di cui all’art. 2.2. lettera b) si rinviene nelle seguenti disposizioni normative: art. 6 paragrafo 1) lettera f) del GDPR; art. 10 del GDPR, da leggersi, assieme, all’art. 2 </w:t>
      </w:r>
      <w:proofErr w:type="spellStart"/>
      <w:r>
        <w:rPr>
          <w:rFonts w:ascii="Trade Gothic LT Std Light" w:eastAsiaTheme="minorHAnsi" w:hAnsi="Trade Gothic LT Std Light" w:cstheme="minorBidi"/>
          <w:sz w:val="18"/>
          <w:szCs w:val="18"/>
          <w:lang w:eastAsia="en-US"/>
        </w:rPr>
        <w:t>octies</w:t>
      </w:r>
      <w:proofErr w:type="spellEnd"/>
      <w:r>
        <w:rPr>
          <w:rFonts w:ascii="Trade Gothic LT Std Light" w:eastAsiaTheme="minorHAnsi" w:hAnsi="Trade Gothic LT Std Light" w:cstheme="minorBidi"/>
          <w:sz w:val="18"/>
          <w:szCs w:val="18"/>
          <w:lang w:eastAsia="en-US"/>
        </w:rPr>
        <w:t xml:space="preserve"> comma 1) e comma 3) lettere c) e) del Codice Privacy. </w:t>
      </w:r>
    </w:p>
    <w:p w14:paraId="39BC8138" w14:textId="77777777" w:rsidR="006A6751" w:rsidRDefault="006A6751" w:rsidP="006A6751">
      <w:pPr>
        <w:jc w:val="both"/>
        <w:rPr>
          <w:rFonts w:ascii="Trade Gothic LT Std Light" w:eastAsiaTheme="minorHAnsi" w:hAnsi="Trade Gothic LT Std Light" w:cstheme="minorBidi"/>
          <w:sz w:val="18"/>
          <w:szCs w:val="18"/>
          <w:lang w:eastAsia="en-US"/>
        </w:rPr>
      </w:pPr>
    </w:p>
    <w:p w14:paraId="0FB61950" w14:textId="77777777" w:rsidR="006A6751" w:rsidRDefault="006A6751" w:rsidP="006A6751">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b/>
          <w:sz w:val="18"/>
          <w:szCs w:val="18"/>
          <w:lang w:eastAsia="en-US"/>
        </w:rPr>
        <w:t>3. Periodo di conservazione.</w:t>
      </w:r>
    </w:p>
    <w:p w14:paraId="57F5CEFA" w14:textId="77777777" w:rsidR="006A6751" w:rsidRDefault="006A6751" w:rsidP="006A6751">
      <w:pPr>
        <w:jc w:val="both"/>
        <w:rPr>
          <w:rFonts w:ascii="Trade Gothic LT Std Light" w:hAnsi="Trade Gothic LT Std Light"/>
          <w:sz w:val="18"/>
          <w:szCs w:val="18"/>
        </w:rPr>
      </w:pPr>
      <w:r>
        <w:rPr>
          <w:rFonts w:ascii="Trade Gothic LT Std Light" w:eastAsiaTheme="minorHAnsi" w:hAnsi="Trade Gothic LT Std Light" w:cstheme="minorBidi"/>
          <w:b/>
          <w:sz w:val="18"/>
          <w:szCs w:val="18"/>
          <w:lang w:eastAsia="en-US"/>
        </w:rPr>
        <w:t>3.1.</w:t>
      </w:r>
      <w:r>
        <w:rPr>
          <w:rFonts w:ascii="Trade Gothic LT Std Light" w:eastAsiaTheme="minorHAnsi" w:hAnsi="Trade Gothic LT Std Light" w:cstheme="minorBidi"/>
          <w:sz w:val="18"/>
          <w:szCs w:val="18"/>
          <w:lang w:eastAsia="en-US"/>
        </w:rPr>
        <w:t xml:space="preserve"> In ossequio all’art. 13 paragrafo 2) lettera a) del GDPR, ASSET ti comunica i seguenti periodi/criteri temporali di conservazione, al termine dei quali le tue informazioni saranno eventualmente soggette a cancellazione, distruzione ovvero </w:t>
      </w:r>
      <w:proofErr w:type="spellStart"/>
      <w:r>
        <w:rPr>
          <w:rFonts w:ascii="Trade Gothic LT Std Light" w:eastAsiaTheme="minorHAnsi" w:hAnsi="Trade Gothic LT Std Light" w:cstheme="minorBidi"/>
          <w:sz w:val="18"/>
          <w:szCs w:val="18"/>
          <w:lang w:eastAsia="en-US"/>
        </w:rPr>
        <w:t>anonimizzazione</w:t>
      </w:r>
      <w:proofErr w:type="spellEnd"/>
      <w:r>
        <w:rPr>
          <w:rFonts w:ascii="Trade Gothic LT Std Light" w:eastAsiaTheme="minorHAnsi" w:hAnsi="Trade Gothic LT Std Light" w:cstheme="minorBidi"/>
          <w:sz w:val="18"/>
          <w:szCs w:val="18"/>
          <w:lang w:eastAsia="en-US"/>
        </w:rPr>
        <w:t xml:space="preserve">: </w:t>
      </w:r>
      <w:r w:rsidRPr="00C002FC">
        <w:rPr>
          <w:rFonts w:ascii="Trade Gothic LT Std Light" w:eastAsiaTheme="minorHAnsi" w:hAnsi="Trade Gothic LT Std Light" w:cstheme="minorBidi"/>
          <w:sz w:val="18"/>
          <w:szCs w:val="18"/>
          <w:lang w:eastAsia="en-US"/>
        </w:rPr>
        <w:t xml:space="preserve">(i) per l’esecuzione della finalità di trattamento di cui all’art. 2.1.: n. 10 anni, decorrenti dalla definitiva cessazione </w:t>
      </w:r>
      <w:r>
        <w:rPr>
          <w:rFonts w:ascii="Trade Gothic LT Std Light" w:eastAsiaTheme="minorHAnsi" w:hAnsi="Trade Gothic LT Std Light" w:cstheme="minorBidi"/>
          <w:sz w:val="18"/>
          <w:szCs w:val="18"/>
          <w:lang w:eastAsia="en-US"/>
        </w:rPr>
        <w:t>della procedura in questione</w:t>
      </w:r>
      <w:r w:rsidRPr="00C002FC">
        <w:rPr>
          <w:rFonts w:ascii="Trade Gothic LT Std Light" w:eastAsiaTheme="minorHAnsi" w:hAnsi="Trade Gothic LT Std Light" w:cstheme="minorBidi"/>
          <w:sz w:val="18"/>
          <w:szCs w:val="18"/>
          <w:lang w:eastAsia="en-US"/>
        </w:rPr>
        <w:t xml:space="preserve">; </w:t>
      </w:r>
      <w:r w:rsidRPr="00C002FC">
        <w:rPr>
          <w:rFonts w:ascii="Trade Gothic LT Std Light" w:hAnsi="Trade Gothic LT Std Light"/>
          <w:sz w:val="18"/>
          <w:szCs w:val="18"/>
        </w:rPr>
        <w:t xml:space="preserve">(ii) per l’esecuzione della finalità di trattamento di cui all’art. 2.2. lettera b): </w:t>
      </w:r>
      <w:r w:rsidRPr="00C002FC">
        <w:rPr>
          <w:rFonts w:ascii="Trade Gothic LT Std Light" w:eastAsiaTheme="minorHAnsi" w:hAnsi="Trade Gothic LT Std Light" w:cstheme="minorBidi"/>
          <w:sz w:val="18"/>
          <w:szCs w:val="18"/>
          <w:lang w:eastAsia="en-US"/>
        </w:rPr>
        <w:t>per il tempo necessario per tutelare un proprio diritto/interesse</w:t>
      </w:r>
      <w:r>
        <w:rPr>
          <w:rFonts w:ascii="Trade Gothic LT Std Light" w:eastAsiaTheme="minorHAnsi" w:hAnsi="Trade Gothic LT Std Light" w:cstheme="minorBidi"/>
          <w:sz w:val="18"/>
          <w:szCs w:val="18"/>
          <w:lang w:eastAsia="en-US"/>
        </w:rPr>
        <w:t xml:space="preserve"> anche in sede giudiziale, criterio temporale eventualmente prorogabile per n. 10 anni decorrenti dalla definitiva cessazione del contenzioso (cfr. in via analogica, il documento “Sistema archivistico nazionale – linee guida selezione e scarto atti”, a firma dell’Agenzia delle Entrate).</w:t>
      </w:r>
    </w:p>
    <w:p w14:paraId="0C124083" w14:textId="77777777" w:rsidR="006A6751" w:rsidRDefault="006A6751" w:rsidP="006A6751">
      <w:pPr>
        <w:jc w:val="both"/>
        <w:rPr>
          <w:rFonts w:ascii="Trade Gothic LT Std Light" w:eastAsiaTheme="minorHAnsi" w:hAnsi="Trade Gothic LT Std Light" w:cstheme="minorBidi"/>
          <w:b/>
          <w:sz w:val="18"/>
          <w:szCs w:val="18"/>
          <w:lang w:eastAsia="en-US"/>
        </w:rPr>
      </w:pPr>
    </w:p>
    <w:p w14:paraId="3341A673" w14:textId="77777777" w:rsidR="006A6751" w:rsidRDefault="006A6751" w:rsidP="006A6751">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b/>
          <w:sz w:val="18"/>
          <w:szCs w:val="18"/>
          <w:lang w:eastAsia="en-US"/>
        </w:rPr>
        <w:t>4. Destinatari.</w:t>
      </w:r>
    </w:p>
    <w:p w14:paraId="789B60D7" w14:textId="77777777" w:rsidR="006A6751" w:rsidRDefault="006A6751" w:rsidP="006A6751">
      <w:pPr>
        <w:pStyle w:val="Nessunaspaziatura"/>
        <w:jc w:val="both"/>
        <w:rPr>
          <w:rFonts w:ascii="Trade Gothic LT Std Light" w:eastAsiaTheme="minorHAnsi" w:hAnsi="Trade Gothic LT Std Light"/>
          <w:sz w:val="18"/>
          <w:szCs w:val="18"/>
        </w:rPr>
      </w:pPr>
      <w:r w:rsidRPr="00721773">
        <w:rPr>
          <w:rFonts w:ascii="Trade Gothic LT Std Light" w:eastAsiaTheme="minorHAnsi" w:hAnsi="Trade Gothic LT Std Light"/>
          <w:b/>
          <w:sz w:val="18"/>
          <w:szCs w:val="18"/>
        </w:rPr>
        <w:t>4.1.</w:t>
      </w:r>
      <w:r>
        <w:rPr>
          <w:rFonts w:eastAsiaTheme="minorHAnsi"/>
        </w:rPr>
        <w:t xml:space="preserve"> </w:t>
      </w:r>
      <w:r w:rsidRPr="00EE117B">
        <w:rPr>
          <w:rFonts w:ascii="Trade Gothic LT Std Light" w:eastAsiaTheme="minorHAnsi" w:hAnsi="Trade Gothic LT Std Light"/>
          <w:sz w:val="18"/>
          <w:szCs w:val="18"/>
        </w:rPr>
        <w:t xml:space="preserve">In ossequio all’art. 13 paragrafo 1) lettera e) del GDPR, </w:t>
      </w:r>
      <w:r>
        <w:rPr>
          <w:rFonts w:ascii="Trade Gothic LT Std Light" w:eastAsiaTheme="minorHAnsi" w:hAnsi="Trade Gothic LT Std Light"/>
          <w:sz w:val="18"/>
          <w:szCs w:val="18"/>
        </w:rPr>
        <w:t xml:space="preserve">ASSET </w:t>
      </w:r>
      <w:r w:rsidRPr="00EE117B">
        <w:rPr>
          <w:rFonts w:ascii="Trade Gothic LT Std Light" w:eastAsiaTheme="minorHAnsi" w:hAnsi="Trade Gothic LT Std Light"/>
          <w:sz w:val="18"/>
          <w:szCs w:val="18"/>
        </w:rPr>
        <w:t xml:space="preserve">ti precisa che </w:t>
      </w:r>
      <w:r>
        <w:rPr>
          <w:rFonts w:ascii="Trade Gothic LT Std Light" w:eastAsiaTheme="minorHAnsi" w:hAnsi="Trade Gothic LT Std Light"/>
          <w:sz w:val="18"/>
          <w:szCs w:val="18"/>
        </w:rPr>
        <w:t>le tue informazioni</w:t>
      </w:r>
      <w:r w:rsidRPr="00EE117B">
        <w:rPr>
          <w:rFonts w:ascii="Trade Gothic LT Std Light" w:eastAsiaTheme="minorHAnsi" w:hAnsi="Trade Gothic LT Std Light"/>
          <w:sz w:val="18"/>
          <w:szCs w:val="18"/>
        </w:rPr>
        <w:t xml:space="preserve"> possono essere oggetto di comunicazione, ove opportuno e necessario, ad uno o più destinatari ex art. 4 n. 9) del GDPR, così individuati, in via generale, per categoria: </w:t>
      </w:r>
      <w:r w:rsidRPr="00C002FC">
        <w:rPr>
          <w:rFonts w:ascii="Trade Gothic LT Std Light" w:eastAsiaTheme="minorHAnsi" w:hAnsi="Trade Gothic LT Std Light"/>
          <w:sz w:val="18"/>
          <w:szCs w:val="18"/>
        </w:rPr>
        <w:t>(i) per l’esecuzione della finalità di trattamento di cui all’art. 2.1.</w:t>
      </w:r>
      <w:r>
        <w:rPr>
          <w:rFonts w:ascii="Trade Gothic LT Std Light" w:eastAsiaTheme="minorHAnsi" w:hAnsi="Trade Gothic LT Std Light"/>
          <w:sz w:val="18"/>
          <w:szCs w:val="18"/>
        </w:rPr>
        <w:t xml:space="preserve"> lettera a)</w:t>
      </w:r>
      <w:r w:rsidRPr="00C002FC">
        <w:rPr>
          <w:rFonts w:ascii="Trade Gothic LT Std Light" w:eastAsiaTheme="minorHAnsi" w:hAnsi="Trade Gothic LT Std Light"/>
          <w:sz w:val="18"/>
          <w:szCs w:val="18"/>
        </w:rPr>
        <w:t xml:space="preserve">: soggetti cd. designati/autorizzati al trattamento da ASSET; ente pubblico; </w:t>
      </w:r>
      <w:r>
        <w:rPr>
          <w:rFonts w:ascii="Trade Gothic LT Std Light" w:eastAsiaTheme="minorHAnsi" w:hAnsi="Trade Gothic LT Std Light"/>
          <w:sz w:val="18"/>
          <w:szCs w:val="18"/>
        </w:rPr>
        <w:t xml:space="preserve">soggetto che, a vario titolo, opera nella procedura in questione; </w:t>
      </w:r>
      <w:r w:rsidRPr="00C002FC">
        <w:rPr>
          <w:rFonts w:ascii="Trade Gothic LT Std Light" w:eastAsiaTheme="minorHAnsi" w:hAnsi="Trade Gothic LT Std Light"/>
          <w:sz w:val="18"/>
          <w:szCs w:val="18"/>
        </w:rPr>
        <w:t>(ii)</w:t>
      </w:r>
      <w:r>
        <w:rPr>
          <w:rFonts w:ascii="Trade Gothic LT Std Light" w:eastAsiaTheme="minorHAnsi" w:hAnsi="Trade Gothic LT Std Light"/>
          <w:sz w:val="18"/>
          <w:szCs w:val="18"/>
        </w:rPr>
        <w:t xml:space="preserve"> per l’esecuzione della finalità di trattamento di cui all’art. 2.2. lettera b): soggetti cd. designati/autorizzati al trattamento da ASSET; ente pubblico; consulente/impresa connessa, direttamente o indirettamente, alla finalità in questione (es. consulente legale); autorità di polizia/giudiziaria. </w:t>
      </w:r>
    </w:p>
    <w:p w14:paraId="7BDF1ADA" w14:textId="77777777" w:rsidR="006A6751" w:rsidRDefault="006A6751" w:rsidP="006A6751">
      <w:pPr>
        <w:pStyle w:val="Nessunaspaziatura"/>
        <w:jc w:val="both"/>
        <w:rPr>
          <w:rFonts w:ascii="Trade Gothic LT Std Light" w:eastAsiaTheme="minorHAnsi" w:hAnsi="Trade Gothic LT Std Light"/>
          <w:sz w:val="18"/>
          <w:szCs w:val="18"/>
        </w:rPr>
      </w:pPr>
    </w:p>
    <w:p w14:paraId="39161C0D" w14:textId="77777777" w:rsidR="006A6751" w:rsidRDefault="006A6751" w:rsidP="006A6751">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b/>
          <w:sz w:val="18"/>
          <w:szCs w:val="18"/>
          <w:lang w:eastAsia="en-US"/>
        </w:rPr>
        <w:t>5. Trasferimento.</w:t>
      </w:r>
    </w:p>
    <w:p w14:paraId="203EE622" w14:textId="77777777" w:rsidR="006A6751" w:rsidRDefault="006A6751" w:rsidP="006A6751">
      <w:pPr>
        <w:jc w:val="both"/>
        <w:rPr>
          <w:rFonts w:ascii="Trade Gothic LT Std Light" w:eastAsiaTheme="minorHAnsi" w:hAnsi="Trade Gothic LT Std Light" w:cstheme="minorBidi"/>
          <w:sz w:val="18"/>
          <w:szCs w:val="18"/>
          <w:lang w:eastAsia="en-US"/>
        </w:rPr>
      </w:pPr>
      <w:r>
        <w:rPr>
          <w:rFonts w:ascii="Trade Gothic LT Std Light" w:eastAsiaTheme="minorHAnsi" w:hAnsi="Trade Gothic LT Std Light" w:cstheme="minorBidi"/>
          <w:b/>
          <w:sz w:val="18"/>
          <w:szCs w:val="18"/>
          <w:lang w:eastAsia="en-US"/>
        </w:rPr>
        <w:t>5.1.</w:t>
      </w:r>
      <w:r>
        <w:rPr>
          <w:rFonts w:ascii="Trade Gothic LT Std Light" w:eastAsiaTheme="minorHAnsi" w:hAnsi="Trade Gothic LT Std Light" w:cstheme="minorBidi"/>
          <w:sz w:val="18"/>
          <w:szCs w:val="18"/>
          <w:lang w:eastAsia="en-US"/>
        </w:rPr>
        <w:t xml:space="preserve"> Le tue informazioni sono/possono essere conservate all’interno anche di archivi automatizzati/parzialmente automatizzati/non automatizzati, appartenenti o comunque riconducibili, anche in via indiretta, ad ASSET, e ubicati all’interno dello Spazio Economico Europeo (SEE). </w:t>
      </w:r>
    </w:p>
    <w:p w14:paraId="280F5DCD" w14:textId="77777777" w:rsidR="006A6751" w:rsidRDefault="006A6751" w:rsidP="006A6751">
      <w:pPr>
        <w:jc w:val="both"/>
        <w:rPr>
          <w:rFonts w:ascii="Trade Gothic LT Std Light" w:eastAsiaTheme="minorHAnsi" w:hAnsi="Trade Gothic LT Std Light" w:cstheme="minorBidi"/>
          <w:sz w:val="18"/>
          <w:szCs w:val="18"/>
          <w:lang w:eastAsia="en-US"/>
        </w:rPr>
      </w:pPr>
    </w:p>
    <w:p w14:paraId="708E44D5" w14:textId="77777777" w:rsidR="006A6751" w:rsidRDefault="006A6751" w:rsidP="006A6751">
      <w:pPr>
        <w:jc w:val="both"/>
        <w:rPr>
          <w:rFonts w:ascii="Trade Gothic LT Std Light" w:eastAsiaTheme="minorHAnsi" w:hAnsi="Trade Gothic LT Std Light" w:cstheme="minorBidi"/>
          <w:b/>
          <w:sz w:val="18"/>
          <w:szCs w:val="18"/>
          <w:lang w:eastAsia="en-US"/>
        </w:rPr>
      </w:pPr>
      <w:r>
        <w:rPr>
          <w:rFonts w:ascii="Trade Gothic LT Std Light" w:eastAsiaTheme="minorHAnsi" w:hAnsi="Trade Gothic LT Std Light" w:cstheme="minorBidi"/>
          <w:b/>
          <w:sz w:val="18"/>
          <w:szCs w:val="18"/>
          <w:lang w:eastAsia="en-US"/>
        </w:rPr>
        <w:t xml:space="preserve">6. Diritti del soggetto interessato. </w:t>
      </w:r>
    </w:p>
    <w:p w14:paraId="1CF38489" w14:textId="77777777" w:rsidR="006A6751" w:rsidRDefault="006A6751" w:rsidP="006A6751">
      <w:pPr>
        <w:jc w:val="both"/>
        <w:rPr>
          <w:rFonts w:ascii="Trade Gothic LT Std Light" w:eastAsiaTheme="minorEastAsia" w:hAnsi="Trade Gothic LT Std Light"/>
          <w:sz w:val="18"/>
          <w:szCs w:val="18"/>
          <w:lang w:eastAsia="zh-TW"/>
        </w:rPr>
      </w:pPr>
      <w:r>
        <w:rPr>
          <w:rFonts w:ascii="Trade Gothic LT Std Light" w:eastAsiaTheme="minorHAnsi" w:hAnsi="Trade Gothic LT Std Light" w:cstheme="minorBidi"/>
          <w:b/>
          <w:sz w:val="18"/>
          <w:szCs w:val="18"/>
          <w:lang w:eastAsia="en-US"/>
        </w:rPr>
        <w:t>6.1.</w:t>
      </w:r>
      <w:r>
        <w:rPr>
          <w:rFonts w:ascii="Trade Gothic LT Std Light" w:eastAsiaTheme="minorHAnsi" w:hAnsi="Trade Gothic LT Std Light" w:cstheme="minorBidi"/>
          <w:sz w:val="18"/>
          <w:szCs w:val="18"/>
          <w:lang w:eastAsia="en-US"/>
        </w:rPr>
        <w:t xml:space="preserve"> </w:t>
      </w:r>
      <w:r>
        <w:rPr>
          <w:rFonts w:ascii="Trade Gothic LT Std Light" w:eastAsiaTheme="minorEastAsia" w:hAnsi="Trade Gothic LT Std Light"/>
          <w:sz w:val="18"/>
          <w:szCs w:val="18"/>
          <w:lang w:eastAsia="zh-TW"/>
        </w:rPr>
        <w:t>In relazione alle tue informazioni descritte al precedente art. 1, ASSET ti informa della facoltà di esercitare i seguenti diritti</w:t>
      </w:r>
      <w:r>
        <w:rPr>
          <w:rFonts w:ascii="Trade Gothic LT Std Light" w:eastAsia="PMingLiU" w:hAnsi="Trade Gothic LT Std Light"/>
          <w:sz w:val="18"/>
          <w:szCs w:val="18"/>
          <w:lang w:eastAsia="zh-TW"/>
        </w:rPr>
        <w:t xml:space="preserve"> eventualmente soggetti alle limitazioni previste dagli artt. 2 </w:t>
      </w:r>
      <w:proofErr w:type="spellStart"/>
      <w:r>
        <w:rPr>
          <w:rFonts w:ascii="Trade Gothic LT Std Light" w:eastAsia="PMingLiU" w:hAnsi="Trade Gothic LT Std Light"/>
          <w:sz w:val="18"/>
          <w:szCs w:val="18"/>
          <w:lang w:eastAsia="zh-TW"/>
        </w:rPr>
        <w:t>undecies</w:t>
      </w:r>
      <w:proofErr w:type="spellEnd"/>
      <w:r>
        <w:rPr>
          <w:rFonts w:ascii="Trade Gothic LT Std Light" w:eastAsia="PMingLiU" w:hAnsi="Trade Gothic LT Std Light"/>
          <w:sz w:val="18"/>
          <w:szCs w:val="18"/>
          <w:lang w:eastAsia="zh-TW"/>
        </w:rPr>
        <w:t xml:space="preserve"> e 2 duodecies del Codice Privacy</w:t>
      </w:r>
      <w:r>
        <w:rPr>
          <w:rFonts w:ascii="Trade Gothic LT Std Light" w:eastAsiaTheme="minorEastAsia" w:hAnsi="Trade Gothic LT Std Light"/>
          <w:sz w:val="18"/>
          <w:szCs w:val="18"/>
          <w:lang w:eastAsia="zh-TW"/>
        </w:rPr>
        <w:t xml:space="preserve">: </w:t>
      </w:r>
      <w:r>
        <w:rPr>
          <w:rFonts w:ascii="Trade Gothic LT Std Light" w:eastAsiaTheme="minorEastAsia" w:hAnsi="Trade Gothic LT Std Light"/>
          <w:sz w:val="18"/>
          <w:szCs w:val="18"/>
          <w:u w:val="single"/>
          <w:lang w:eastAsia="zh-TW"/>
        </w:rPr>
        <w:t>diritto di accesso</w:t>
      </w:r>
      <w:r>
        <w:rPr>
          <w:rFonts w:ascii="Trade Gothic LT Std Light" w:eastAsiaTheme="minorEastAsia" w:hAnsi="Trade Gothic LT Std Light"/>
          <w:sz w:val="18"/>
          <w:szCs w:val="18"/>
          <w:lang w:eastAsia="zh-TW"/>
        </w:rPr>
        <w:t xml:space="preserve"> ex art. 15 del GDPR: diritto di ottenere la conferma che sia o meno in corso un trattamento di dati personali che riguardano il soggetto interessato, oltre che le informazioni di cui all’art. 15 del GDPR (es. finalità di trattamento, periodo di conservazione); </w:t>
      </w:r>
      <w:r>
        <w:rPr>
          <w:rFonts w:ascii="Trade Gothic LT Std Light" w:eastAsiaTheme="minorEastAsia" w:hAnsi="Trade Gothic LT Std Light"/>
          <w:sz w:val="18"/>
          <w:szCs w:val="18"/>
          <w:u w:val="single"/>
          <w:lang w:eastAsia="zh-TW"/>
        </w:rPr>
        <w:t>diritto di rettifica</w:t>
      </w:r>
      <w:r>
        <w:rPr>
          <w:rFonts w:ascii="Trade Gothic LT Std Light" w:eastAsiaTheme="minorEastAsia" w:hAnsi="Trade Gothic LT Std Light"/>
          <w:sz w:val="18"/>
          <w:szCs w:val="18"/>
          <w:lang w:eastAsia="zh-TW"/>
        </w:rPr>
        <w:t xml:space="preserve"> ex art. 16 del GDPR: diritto di correggere, aggiornare o integrare i dati personali; </w:t>
      </w:r>
      <w:r>
        <w:rPr>
          <w:rFonts w:ascii="Trade Gothic LT Std Light" w:eastAsiaTheme="minorEastAsia" w:hAnsi="Trade Gothic LT Std Light"/>
          <w:sz w:val="18"/>
          <w:szCs w:val="18"/>
          <w:u w:val="single"/>
          <w:lang w:eastAsia="zh-TW"/>
        </w:rPr>
        <w:t>diritto alla cancellazione</w:t>
      </w:r>
      <w:r>
        <w:rPr>
          <w:rFonts w:ascii="Trade Gothic LT Std Light" w:eastAsiaTheme="minorEastAsia" w:hAnsi="Trade Gothic LT Std Light"/>
          <w:sz w:val="18"/>
          <w:szCs w:val="18"/>
          <w:lang w:eastAsia="zh-TW"/>
        </w:rPr>
        <w:t xml:space="preserve"> ex art. 17 del GDPR: diritto di ottenere la cancellazione o distruzione o </w:t>
      </w:r>
      <w:proofErr w:type="spellStart"/>
      <w:r>
        <w:rPr>
          <w:rFonts w:ascii="Trade Gothic LT Std Light" w:eastAsiaTheme="minorEastAsia" w:hAnsi="Trade Gothic LT Std Light"/>
          <w:sz w:val="18"/>
          <w:szCs w:val="18"/>
          <w:lang w:eastAsia="zh-TW"/>
        </w:rPr>
        <w:t>anonimizzazione</w:t>
      </w:r>
      <w:proofErr w:type="spellEnd"/>
      <w:r>
        <w:rPr>
          <w:rFonts w:ascii="Trade Gothic LT Std Light" w:eastAsiaTheme="minorEastAsia" w:hAnsi="Trade Gothic LT Std Light"/>
          <w:sz w:val="18"/>
          <w:szCs w:val="18"/>
          <w:lang w:eastAsia="zh-TW"/>
        </w:rPr>
        <w:t xml:space="preserve"> dei dati personali, laddove tuttavia ricorrano i presupposti elencati nel medesimo articolo; </w:t>
      </w:r>
      <w:r>
        <w:rPr>
          <w:rFonts w:ascii="Trade Gothic LT Std Light" w:eastAsiaTheme="minorEastAsia" w:hAnsi="Trade Gothic LT Std Light"/>
          <w:sz w:val="18"/>
          <w:szCs w:val="18"/>
          <w:u w:val="single"/>
          <w:lang w:eastAsia="zh-TW"/>
        </w:rPr>
        <w:t>diritto di limitazione del trattamento</w:t>
      </w:r>
      <w:r>
        <w:rPr>
          <w:rFonts w:ascii="Trade Gothic LT Std Light" w:eastAsiaTheme="minorEastAsia" w:hAnsi="Trade Gothic LT Std Light"/>
          <w:sz w:val="18"/>
          <w:szCs w:val="18"/>
          <w:lang w:eastAsia="zh-TW"/>
        </w:rPr>
        <w:t xml:space="preserve"> ex art. 18 del GDPR: diritto con connotazione marcatamente cautelare, teso ad ottenere la limitazione del trattamento laddove sussistano le ipotesi disciplinate dallo stesso art. 18; </w:t>
      </w:r>
      <w:r>
        <w:rPr>
          <w:rFonts w:ascii="Trade Gothic LT Std Light" w:eastAsiaTheme="minorEastAsia" w:hAnsi="Trade Gothic LT Std Light"/>
          <w:sz w:val="18"/>
          <w:szCs w:val="18"/>
          <w:u w:val="single"/>
          <w:lang w:eastAsia="zh-TW"/>
        </w:rPr>
        <w:t>diritto alla portabilità</w:t>
      </w:r>
      <w:r>
        <w:rPr>
          <w:rFonts w:ascii="Trade Gothic LT Std Light" w:eastAsiaTheme="minorEastAsia" w:hAnsi="Trade Gothic LT Std Light"/>
          <w:sz w:val="18"/>
          <w:szCs w:val="18"/>
          <w:lang w:eastAsia="zh-TW"/>
        </w:rPr>
        <w:t xml:space="preserve"> dei dati ex art. 20 del GDPR: diritto di ottenere i dati personali, forniti al ASSET,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 dall’interessato); </w:t>
      </w:r>
      <w:r>
        <w:rPr>
          <w:rFonts w:ascii="Trade Gothic LT Std Light" w:eastAsiaTheme="minorEastAsia" w:hAnsi="Trade Gothic LT Std Light"/>
          <w:sz w:val="18"/>
          <w:szCs w:val="18"/>
          <w:u w:val="single"/>
          <w:lang w:eastAsia="zh-TW"/>
        </w:rPr>
        <w:t>diritto di opposizione</w:t>
      </w:r>
      <w:r>
        <w:rPr>
          <w:rFonts w:ascii="Trade Gothic LT Std Light" w:eastAsiaTheme="minorEastAsia" w:hAnsi="Trade Gothic LT Std Light"/>
          <w:sz w:val="18"/>
          <w:szCs w:val="18"/>
          <w:lang w:eastAsia="zh-TW"/>
        </w:rPr>
        <w:t xml:space="preserve"> ex art. 21 del GDPR: diritto di ottenere la cessazione, in via permanente, di un determinato trattamento di dati personali; </w:t>
      </w:r>
      <w:r>
        <w:rPr>
          <w:rFonts w:ascii="Trade Gothic LT Std Light" w:eastAsiaTheme="minorEastAsia" w:hAnsi="Trade Gothic LT Std Light"/>
          <w:sz w:val="18"/>
          <w:szCs w:val="18"/>
          <w:u w:val="single"/>
          <w:lang w:eastAsia="zh-TW"/>
        </w:rPr>
        <w:t>diritto di proporre reclamo</w:t>
      </w:r>
      <w:r>
        <w:rPr>
          <w:rFonts w:ascii="Trade Gothic LT Std Light" w:eastAsiaTheme="minorEastAsia" w:hAnsi="Trade Gothic LT Std Light"/>
          <w:sz w:val="18"/>
          <w:szCs w:val="18"/>
          <w:lang w:eastAsia="zh-TW"/>
        </w:rPr>
        <w:t xml:space="preserve"> all’Autorità di Controllo (ossia, Garante Privacy italiano) ex art. 77 del GDPR: diritto di proporre reclamo laddove si ritiene che il trattamento oggetto d’analisi violi la normativa nazionale e comunitaria sulla protezione dei dati personali.  </w:t>
      </w:r>
    </w:p>
    <w:p w14:paraId="453037A3" w14:textId="77777777" w:rsidR="006A6751" w:rsidRDefault="006A6751" w:rsidP="006A6751">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lastRenderedPageBreak/>
        <w:t>6.2.</w:t>
      </w:r>
      <w:r>
        <w:rPr>
          <w:rFonts w:ascii="Trade Gothic LT Std Light" w:eastAsiaTheme="minorEastAsia" w:hAnsi="Trade Gothic LT Std Light"/>
          <w:sz w:val="18"/>
          <w:szCs w:val="18"/>
          <w:lang w:eastAsia="zh-TW"/>
        </w:rPr>
        <w:t xml:space="preserve"> In aggiunta ai diritti descritti al precedente art. 6.1., ASSET precisa che, in relazione alle informazioni descritte al precedente art. 1,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del GDPR; dall’altro lato, ASSET precisa che, in relazione alle informazioni descritte al precedente art. 1,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 2).</w:t>
      </w:r>
    </w:p>
    <w:p w14:paraId="65D34712" w14:textId="77777777" w:rsidR="006A6751" w:rsidRDefault="006A6751" w:rsidP="006A6751">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6.3.</w:t>
      </w:r>
      <w:r>
        <w:rPr>
          <w:rFonts w:ascii="Trade Gothic LT Std Light" w:eastAsiaTheme="minorEastAsia" w:hAnsi="Trade Gothic LT Std Light"/>
          <w:sz w:val="18"/>
          <w:szCs w:val="18"/>
          <w:lang w:eastAsia="zh-TW"/>
        </w:rPr>
        <w:t xml:space="preserve"> In ossequio all’art. 12 paragrafo 1) del GDPR, ASSET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 </w:t>
      </w:r>
    </w:p>
    <w:p w14:paraId="755A7C17" w14:textId="77777777" w:rsidR="006A6751" w:rsidRDefault="006A6751" w:rsidP="006A6751">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6.4.</w:t>
      </w:r>
      <w:r>
        <w:rPr>
          <w:rFonts w:ascii="Trade Gothic LT Std Light" w:eastAsiaTheme="minorEastAsia" w:hAnsi="Trade Gothic LT Std Light"/>
          <w:sz w:val="18"/>
          <w:szCs w:val="18"/>
          <w:lang w:eastAsia="zh-TW"/>
        </w:rPr>
        <w:t xml:space="preserve"> In ossequio all’art. 12 paragrafo 3) del GDPR, ASSET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ASSET si impegna ad informare di tale proroga e dei motivi del ritardo, entro un mese dal ricevimento della richiesta).</w:t>
      </w:r>
    </w:p>
    <w:p w14:paraId="2B57768B" w14:textId="77777777" w:rsidR="006A6751" w:rsidRDefault="006A6751" w:rsidP="006A6751">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 xml:space="preserve">6.5. </w:t>
      </w:r>
      <w:r>
        <w:rPr>
          <w:rFonts w:ascii="Trade Gothic LT Std Light" w:eastAsiaTheme="minorEastAsia" w:hAnsi="Trade Gothic LT Std Light"/>
          <w:sz w:val="18"/>
          <w:szCs w:val="18"/>
          <w:lang w:eastAsia="zh-TW"/>
        </w:rPr>
        <w:t xml:space="preserve">I diritti descritti ai precedenti artt. 6.1. e 6.2. (fatta eccezione per il diritto ex art. 77 del GDPR) possono essere esercitati mediante i dati di contatto illustrati al successivo art. 7.  </w:t>
      </w:r>
    </w:p>
    <w:p w14:paraId="556B7375" w14:textId="77777777" w:rsidR="006A6751" w:rsidRDefault="006A6751" w:rsidP="006A6751">
      <w:pPr>
        <w:jc w:val="both"/>
        <w:rPr>
          <w:rFonts w:ascii="Trade Gothic LT Std Light" w:eastAsiaTheme="minorEastAsia" w:hAnsi="Trade Gothic LT Std Light"/>
          <w:b/>
          <w:sz w:val="18"/>
          <w:szCs w:val="18"/>
          <w:lang w:eastAsia="zh-TW"/>
        </w:rPr>
      </w:pPr>
    </w:p>
    <w:p w14:paraId="16393BDA" w14:textId="77777777" w:rsidR="006A6751" w:rsidRPr="00F30870" w:rsidRDefault="006A6751" w:rsidP="006A6751">
      <w:pPr>
        <w:jc w:val="both"/>
        <w:rPr>
          <w:rFonts w:ascii="Trade Gothic LT Std Light" w:eastAsiaTheme="minorEastAsia" w:hAnsi="Trade Gothic LT Std Light"/>
          <w:b/>
          <w:sz w:val="18"/>
          <w:szCs w:val="18"/>
          <w:lang w:eastAsia="zh-TW"/>
        </w:rPr>
      </w:pPr>
      <w:r w:rsidRPr="00F30870">
        <w:rPr>
          <w:rFonts w:ascii="Trade Gothic LT Std Light" w:eastAsiaTheme="minorEastAsia" w:hAnsi="Trade Gothic LT Std Light"/>
          <w:b/>
          <w:sz w:val="18"/>
          <w:szCs w:val="18"/>
          <w:lang w:eastAsia="zh-TW"/>
        </w:rPr>
        <w:t>7. Dati di contatto.</w:t>
      </w:r>
    </w:p>
    <w:p w14:paraId="2CB9E6B3" w14:textId="77777777" w:rsidR="006A6751" w:rsidRPr="00F30870" w:rsidRDefault="006A6751" w:rsidP="006A6751">
      <w:pPr>
        <w:jc w:val="both"/>
        <w:rPr>
          <w:rFonts w:asciiTheme="minorHAnsi" w:eastAsiaTheme="minorHAnsi" w:hAnsiTheme="minorHAnsi" w:cstheme="minorBidi"/>
          <w:color w:val="0000FF" w:themeColor="hyperlink"/>
          <w:sz w:val="22"/>
          <w:szCs w:val="22"/>
          <w:u w:val="single"/>
          <w:lang w:eastAsia="en-US"/>
        </w:rPr>
      </w:pPr>
      <w:r w:rsidRPr="00F30870">
        <w:rPr>
          <w:rFonts w:ascii="Trade Gothic LT Std Light" w:eastAsiaTheme="minorEastAsia" w:hAnsi="Trade Gothic LT Std Light"/>
          <w:b/>
          <w:sz w:val="18"/>
          <w:szCs w:val="18"/>
          <w:lang w:eastAsia="zh-TW"/>
        </w:rPr>
        <w:t>7.1.</w:t>
      </w:r>
      <w:r w:rsidRPr="00F30870">
        <w:rPr>
          <w:rFonts w:ascii="Trade Gothic LT Std Light" w:eastAsiaTheme="minorEastAsia" w:hAnsi="Trade Gothic LT Std Light"/>
          <w:sz w:val="18"/>
          <w:szCs w:val="18"/>
          <w:lang w:eastAsia="zh-TW"/>
        </w:rPr>
        <w:t xml:space="preserve"> </w:t>
      </w:r>
      <w:r>
        <w:rPr>
          <w:rFonts w:ascii="Trade Gothic LT Std Light" w:eastAsiaTheme="minorEastAsia" w:hAnsi="Trade Gothic LT Std Light"/>
          <w:sz w:val="18"/>
          <w:szCs w:val="18"/>
          <w:lang w:eastAsia="zh-TW"/>
        </w:rPr>
        <w:t xml:space="preserve">ASSET </w:t>
      </w:r>
      <w:r w:rsidRPr="00F30870">
        <w:rPr>
          <w:rFonts w:ascii="Trade Gothic LT Std Light" w:eastAsiaTheme="minorEastAsia" w:hAnsi="Trade Gothic LT Std Light"/>
          <w:sz w:val="18"/>
          <w:szCs w:val="18"/>
          <w:lang w:eastAsia="zh-TW"/>
        </w:rPr>
        <w:t>può essere contattato al seguente recapito:</w:t>
      </w:r>
      <w:r>
        <w:rPr>
          <w:rFonts w:ascii="Trade Gothic LT Std Light" w:eastAsiaTheme="minorEastAsia" w:hAnsi="Trade Gothic LT Std Light"/>
          <w:sz w:val="18"/>
          <w:szCs w:val="18"/>
          <w:lang w:eastAsia="zh-TW"/>
        </w:rPr>
        <w:t xml:space="preserve"> </w:t>
      </w:r>
      <w:hyperlink r:id="rId11" w:history="1">
        <w:r w:rsidRPr="00D0728D">
          <w:rPr>
            <w:rStyle w:val="Collegamentoipertestuale"/>
            <w:rFonts w:ascii="Trade Gothic LT Std Light" w:eastAsiaTheme="minorEastAsia" w:hAnsi="Trade Gothic LT Std Light"/>
            <w:sz w:val="18"/>
            <w:szCs w:val="18"/>
            <w:lang w:eastAsia="zh-TW"/>
          </w:rPr>
          <w:t>asset.basilicata@legalmail.it</w:t>
        </w:r>
      </w:hyperlink>
      <w:r>
        <w:rPr>
          <w:rFonts w:ascii="Trade Gothic LT Std Light" w:eastAsiaTheme="minorEastAsia" w:hAnsi="Trade Gothic LT Std Light"/>
          <w:sz w:val="18"/>
          <w:szCs w:val="18"/>
          <w:lang w:eastAsia="zh-TW"/>
        </w:rPr>
        <w:t xml:space="preserve"> </w:t>
      </w:r>
      <w:r w:rsidRPr="00F30870">
        <w:rPr>
          <w:rFonts w:ascii="Trade Gothic LT Std Light" w:eastAsiaTheme="minorEastAsia" w:hAnsi="Trade Gothic LT Std Light"/>
          <w:sz w:val="18"/>
          <w:szCs w:val="18"/>
          <w:lang w:eastAsia="zh-TW"/>
        </w:rPr>
        <w:t xml:space="preserve"> </w:t>
      </w:r>
      <w:hyperlink r:id="rId12" w:history="1"/>
      <w:r>
        <w:rPr>
          <w:rFonts w:ascii="Trade Gothic LT Std Light" w:eastAsiaTheme="minorEastAsia" w:hAnsi="Trade Gothic LT Std Light"/>
          <w:color w:val="0000FF" w:themeColor="hyperlink"/>
          <w:sz w:val="18"/>
          <w:szCs w:val="18"/>
          <w:u w:val="single"/>
          <w:lang w:eastAsia="zh-TW"/>
        </w:rPr>
        <w:t xml:space="preserve"> </w:t>
      </w:r>
    </w:p>
    <w:p w14:paraId="72D425F5" w14:textId="77777777" w:rsidR="006A6751" w:rsidRPr="00F30870" w:rsidRDefault="006A6751" w:rsidP="006A6751">
      <w:pPr>
        <w:jc w:val="both"/>
        <w:rPr>
          <w:rFonts w:ascii="Trade Gothic LT Std Light" w:eastAsiaTheme="minorHAnsi" w:hAnsi="Trade Gothic LT Std Light" w:cstheme="minorBidi"/>
          <w:sz w:val="18"/>
          <w:szCs w:val="18"/>
          <w:lang w:eastAsia="en-US"/>
        </w:rPr>
      </w:pPr>
      <w:r w:rsidRPr="00F30870">
        <w:rPr>
          <w:rFonts w:ascii="Trade Gothic LT Std Light" w:eastAsiaTheme="minorEastAsia" w:hAnsi="Trade Gothic LT Std Light"/>
          <w:b/>
          <w:sz w:val="18"/>
          <w:szCs w:val="18"/>
          <w:lang w:eastAsia="zh-TW"/>
        </w:rPr>
        <w:t>7.2.</w:t>
      </w:r>
      <w:r w:rsidRPr="00F30870">
        <w:rPr>
          <w:rFonts w:ascii="Trade Gothic LT Std Light" w:eastAsiaTheme="minorEastAsia" w:hAnsi="Trade Gothic LT Std Light"/>
          <w:sz w:val="18"/>
          <w:szCs w:val="18"/>
          <w:lang w:eastAsia="zh-TW"/>
        </w:rPr>
        <w:t xml:space="preserve"> Il Responsabile della protezione dei dati (RPD/DPO) ex art. 37 del GDPR, nominato dal </w:t>
      </w:r>
      <w:r>
        <w:rPr>
          <w:rFonts w:ascii="Trade Gothic LT Std Light" w:eastAsiaTheme="minorEastAsia" w:hAnsi="Trade Gothic LT Std Light"/>
          <w:sz w:val="18"/>
          <w:szCs w:val="18"/>
          <w:lang w:eastAsia="zh-TW"/>
        </w:rPr>
        <w:t>ASSET</w:t>
      </w:r>
      <w:r w:rsidRPr="00F30870">
        <w:rPr>
          <w:rFonts w:ascii="Trade Gothic LT Std Light" w:eastAsiaTheme="minorEastAsia" w:hAnsi="Trade Gothic LT Std Light"/>
          <w:sz w:val="18"/>
          <w:szCs w:val="18"/>
          <w:lang w:eastAsia="zh-TW"/>
        </w:rPr>
        <w:t>, può essere contattato al seguente recapito:</w:t>
      </w:r>
      <w:r>
        <w:rPr>
          <w:rFonts w:ascii="Trade Gothic LT Std Light" w:eastAsiaTheme="minorEastAsia" w:hAnsi="Trade Gothic LT Std Light"/>
          <w:sz w:val="18"/>
          <w:szCs w:val="18"/>
          <w:lang w:eastAsia="zh-TW"/>
        </w:rPr>
        <w:t xml:space="preserve"> </w:t>
      </w:r>
      <w:hyperlink r:id="rId13" w:history="1">
        <w:r w:rsidRPr="00D0728D">
          <w:rPr>
            <w:rStyle w:val="Collegamentoipertestuale"/>
            <w:rFonts w:ascii="Trade Gothic LT Std Light" w:eastAsiaTheme="minorEastAsia" w:hAnsi="Trade Gothic LT Std Light"/>
            <w:sz w:val="18"/>
            <w:szCs w:val="18"/>
            <w:lang w:eastAsia="zh-TW"/>
          </w:rPr>
          <w:t>dpo@asset.basilicata.camcom</w:t>
        </w:r>
      </w:hyperlink>
      <w:r>
        <w:rPr>
          <w:rFonts w:ascii="Trade Gothic LT Std Light" w:eastAsiaTheme="minorEastAsia" w:hAnsi="Trade Gothic LT Std Light"/>
          <w:sz w:val="18"/>
          <w:szCs w:val="18"/>
          <w:lang w:eastAsia="zh-TW"/>
        </w:rPr>
        <w:t xml:space="preserve">; </w:t>
      </w:r>
      <w:hyperlink r:id="rId14" w:history="1">
        <w:r w:rsidRPr="00D0728D">
          <w:rPr>
            <w:rStyle w:val="Collegamentoipertestuale"/>
            <w:rFonts w:ascii="Trade Gothic LT Std Light" w:eastAsiaTheme="minorEastAsia" w:hAnsi="Trade Gothic LT Std Light"/>
            <w:sz w:val="18"/>
            <w:szCs w:val="18"/>
            <w:lang w:eastAsia="zh-TW"/>
          </w:rPr>
          <w:t>dpo.assetbasilicata@legalmail.it</w:t>
        </w:r>
      </w:hyperlink>
      <w:r>
        <w:rPr>
          <w:rFonts w:ascii="Trade Gothic LT Std Light" w:eastAsiaTheme="minorEastAsia" w:hAnsi="Trade Gothic LT Std Light"/>
          <w:sz w:val="18"/>
          <w:szCs w:val="18"/>
          <w:lang w:eastAsia="zh-TW"/>
        </w:rPr>
        <w:t xml:space="preserve"> </w:t>
      </w:r>
    </w:p>
    <w:p w14:paraId="4FC12C67" w14:textId="77777777" w:rsidR="006A6751" w:rsidRPr="00F30870" w:rsidRDefault="006A6751" w:rsidP="006A6751">
      <w:pPr>
        <w:jc w:val="both"/>
        <w:rPr>
          <w:rFonts w:ascii="Trade Gothic LT Std Light" w:eastAsiaTheme="minorEastAsia" w:hAnsi="Trade Gothic LT Std Light"/>
          <w:sz w:val="18"/>
          <w:szCs w:val="18"/>
          <w:lang w:eastAsia="zh-TW"/>
        </w:rPr>
      </w:pPr>
    </w:p>
    <w:p w14:paraId="40D143C2" w14:textId="77777777" w:rsidR="006A6751" w:rsidRPr="00F30870" w:rsidRDefault="006A6751" w:rsidP="006A6751">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sz w:val="18"/>
          <w:szCs w:val="18"/>
          <w:lang w:eastAsia="zh-TW"/>
        </w:rPr>
        <w:t>Matera</w:t>
      </w:r>
      <w:r w:rsidRPr="00F30870">
        <w:rPr>
          <w:rFonts w:ascii="Trade Gothic LT Std Light" w:eastAsiaTheme="minorEastAsia" w:hAnsi="Trade Gothic LT Std Light"/>
          <w:sz w:val="18"/>
          <w:szCs w:val="18"/>
          <w:lang w:eastAsia="zh-TW"/>
        </w:rPr>
        <w:t xml:space="preserve">, lì </w:t>
      </w:r>
      <w:r>
        <w:rPr>
          <w:rFonts w:ascii="Trade Gothic LT Std Light" w:eastAsiaTheme="minorEastAsia" w:hAnsi="Trade Gothic LT Std Light"/>
          <w:sz w:val="18"/>
          <w:szCs w:val="18"/>
          <w:lang w:eastAsia="zh-TW"/>
        </w:rPr>
        <w:t xml:space="preserve">4.2.2025 </w:t>
      </w:r>
      <w:r w:rsidRPr="00F30870">
        <w:rPr>
          <w:rFonts w:ascii="Trade Gothic LT Std Light" w:eastAsiaTheme="minorEastAsia" w:hAnsi="Trade Gothic LT Std Light"/>
          <w:sz w:val="18"/>
          <w:szCs w:val="18"/>
          <w:lang w:eastAsia="zh-TW"/>
        </w:rPr>
        <w:t>(data di ultimo aggiornamento).</w:t>
      </w:r>
    </w:p>
    <w:p w14:paraId="3721493C" w14:textId="77777777" w:rsidR="006A6751" w:rsidRPr="00F30870" w:rsidRDefault="006A6751" w:rsidP="006A6751">
      <w:pPr>
        <w:jc w:val="both"/>
        <w:rPr>
          <w:rFonts w:ascii="Trade Gothic LT Std Light" w:eastAsiaTheme="minorEastAsia" w:hAnsi="Trade Gothic LT Std Light"/>
          <w:sz w:val="18"/>
          <w:szCs w:val="18"/>
          <w:lang w:eastAsia="zh-TW"/>
        </w:rPr>
      </w:pPr>
    </w:p>
    <w:p w14:paraId="130361E2" w14:textId="77777777" w:rsidR="006A6751" w:rsidRPr="00F30870" w:rsidRDefault="006A6751" w:rsidP="006A6751">
      <w:pPr>
        <w:jc w:val="both"/>
        <w:rPr>
          <w:rFonts w:ascii="Trade Gothic LT Std Light" w:eastAsiaTheme="minorHAnsi" w:hAnsi="Trade Gothic LT Std Light" w:cstheme="minorBidi"/>
          <w:sz w:val="18"/>
          <w:szCs w:val="18"/>
          <w:lang w:eastAsia="en-US"/>
        </w:rPr>
      </w:pPr>
      <w:r>
        <w:rPr>
          <w:rFonts w:ascii="Trade Gothic LT Std Light" w:hAnsi="Trade Gothic LT Std Light"/>
          <w:b/>
          <w:sz w:val="18"/>
          <w:szCs w:val="18"/>
        </w:rPr>
        <w:t>AZIENDA SPECIALE SVILUPPO ECONOMICO E TERRITORIALE DELLA BASILICATA</w:t>
      </w:r>
    </w:p>
    <w:p w14:paraId="03CEE1D6" w14:textId="77777777" w:rsidR="006A6751" w:rsidRPr="00F30870" w:rsidRDefault="006A6751" w:rsidP="006A6751">
      <w:pPr>
        <w:jc w:val="both"/>
        <w:rPr>
          <w:rFonts w:ascii="Trade Gothic LT Std Light" w:eastAsia="Calibri" w:hAnsi="Trade Gothic LT Std Light"/>
          <w:b/>
          <w:sz w:val="18"/>
          <w:szCs w:val="18"/>
          <w:lang w:eastAsia="en-US"/>
        </w:rPr>
      </w:pPr>
      <w:r w:rsidRPr="00F30870">
        <w:rPr>
          <w:rFonts w:ascii="Trade Gothic LT Std Light" w:eastAsiaTheme="minorHAnsi" w:hAnsi="Trade Gothic LT Std Light" w:cstheme="minorBidi"/>
          <w:sz w:val="18"/>
          <w:szCs w:val="18"/>
          <w:lang w:eastAsia="en-US"/>
        </w:rPr>
        <w:t>(in persona del suo legale rappresentante pro tempore)</w:t>
      </w:r>
    </w:p>
    <w:p w14:paraId="32BA9434" w14:textId="77777777" w:rsidR="006A6751" w:rsidRDefault="006A6751" w:rsidP="006A6751">
      <w:pPr>
        <w:jc w:val="both"/>
        <w:rPr>
          <w:rFonts w:ascii="Trade Gothic LT Std Light" w:eastAsiaTheme="minorEastAsia" w:hAnsi="Trade Gothic LT Std Light"/>
          <w:sz w:val="18"/>
          <w:szCs w:val="18"/>
          <w:lang w:eastAsia="zh-TW"/>
        </w:rPr>
      </w:pPr>
    </w:p>
    <w:p w14:paraId="3AD450FA" w14:textId="77777777" w:rsidR="006A6751" w:rsidRDefault="006A6751" w:rsidP="006A6751">
      <w:pPr>
        <w:jc w:val="both"/>
        <w:rPr>
          <w:rFonts w:ascii="Trade Gothic LT Std Light" w:eastAsiaTheme="minorEastAsia" w:hAnsi="Trade Gothic LT Std Light"/>
          <w:sz w:val="18"/>
          <w:szCs w:val="18"/>
          <w:lang w:eastAsia="zh-TW"/>
        </w:rPr>
      </w:pPr>
    </w:p>
    <w:p w14:paraId="7E336899" w14:textId="77777777" w:rsidR="006A6751" w:rsidRDefault="006A6751" w:rsidP="006A6751">
      <w:pPr>
        <w:jc w:val="both"/>
        <w:rPr>
          <w:rFonts w:ascii="Trade Gothic LT Std Light" w:eastAsiaTheme="minorEastAsia" w:hAnsi="Trade Gothic LT Std Light"/>
          <w:sz w:val="18"/>
          <w:szCs w:val="18"/>
          <w:lang w:eastAsia="zh-TW"/>
        </w:rPr>
      </w:pPr>
    </w:p>
    <w:p w14:paraId="00000061" w14:textId="77777777" w:rsidR="00E23256" w:rsidRDefault="00E23256">
      <w:pPr>
        <w:pBdr>
          <w:top w:val="nil"/>
          <w:left w:val="nil"/>
          <w:bottom w:val="nil"/>
          <w:right w:val="nil"/>
          <w:between w:val="nil"/>
        </w:pBdr>
        <w:spacing w:after="120"/>
        <w:ind w:right="105"/>
        <w:rPr>
          <w:b/>
          <w:color w:val="000000"/>
          <w:sz w:val="24"/>
          <w:szCs w:val="24"/>
        </w:rPr>
      </w:pPr>
    </w:p>
    <w:p w14:paraId="00000062" w14:textId="77777777" w:rsidR="00E23256" w:rsidRDefault="00E23256">
      <w:pPr>
        <w:pBdr>
          <w:top w:val="nil"/>
          <w:left w:val="nil"/>
          <w:bottom w:val="nil"/>
          <w:right w:val="nil"/>
          <w:between w:val="nil"/>
        </w:pBdr>
        <w:spacing w:after="120"/>
        <w:ind w:right="105"/>
        <w:rPr>
          <w:color w:val="000000"/>
          <w:sz w:val="24"/>
          <w:szCs w:val="24"/>
        </w:rPr>
      </w:pPr>
    </w:p>
    <w:p w14:paraId="00000063" w14:textId="77777777" w:rsidR="00E23256" w:rsidRDefault="00E23256">
      <w:pPr>
        <w:rPr>
          <w:sz w:val="24"/>
          <w:szCs w:val="24"/>
        </w:rPr>
      </w:pPr>
    </w:p>
    <w:bookmarkEnd w:id="6"/>
    <w:p w14:paraId="00000064" w14:textId="77777777" w:rsidR="00E23256" w:rsidRDefault="00E23256">
      <w:pPr>
        <w:rPr>
          <w:sz w:val="24"/>
          <w:szCs w:val="24"/>
        </w:rPr>
      </w:pPr>
    </w:p>
    <w:sectPr w:rsidR="00E23256">
      <w:footerReference w:type="even" r:id="rId15"/>
      <w:footerReference w:type="default" r:id="rId16"/>
      <w:pgSz w:w="11906" w:h="16838"/>
      <w:pgMar w:top="1928" w:right="1134" w:bottom="90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DC7CE" w14:textId="77777777" w:rsidR="0023520C" w:rsidRDefault="0023520C">
      <w:r>
        <w:separator/>
      </w:r>
    </w:p>
  </w:endnote>
  <w:endnote w:type="continuationSeparator" w:id="0">
    <w:p w14:paraId="55BEF4BF" w14:textId="77777777" w:rsidR="0023520C" w:rsidRDefault="0023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 Gothic LT Std Light">
    <w:altName w:val="Calibri"/>
    <w:panose1 w:val="00000000000000000000"/>
    <w:charset w:val="00"/>
    <w:family w:val="modern"/>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5" w14:textId="77777777" w:rsidR="00E23256" w:rsidRDefault="001356B0">
    <w:pPr>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66" w14:textId="77777777" w:rsidR="00E23256" w:rsidRDefault="00E23256">
    <w:pPr>
      <w:pBdr>
        <w:top w:val="nil"/>
        <w:left w:val="nil"/>
        <w:bottom w:val="nil"/>
        <w:right w:val="nil"/>
        <w:between w:val="nil"/>
      </w:pBdr>
      <w:tabs>
        <w:tab w:val="center" w:pos="4819"/>
        <w:tab w:val="right" w:pos="9638"/>
      </w:tabs>
      <w:rPr>
        <w:color w:val="000000"/>
        <w:sz w:val="24"/>
        <w:szCs w:val="24"/>
      </w:rPr>
    </w:pPr>
  </w:p>
  <w:p w14:paraId="00000067" w14:textId="77777777" w:rsidR="00E23256" w:rsidRDefault="00E23256"/>
  <w:p w14:paraId="00000068" w14:textId="77777777" w:rsidR="00E23256" w:rsidRDefault="00E23256"/>
  <w:p w14:paraId="00000069" w14:textId="77777777" w:rsidR="00E23256" w:rsidRDefault="00E23256"/>
  <w:p w14:paraId="0000006A" w14:textId="77777777" w:rsidR="00E23256" w:rsidRDefault="00E23256"/>
  <w:p w14:paraId="0000006B" w14:textId="77777777" w:rsidR="00E23256" w:rsidRDefault="00E23256"/>
  <w:p w14:paraId="0000006C" w14:textId="77777777" w:rsidR="00E23256" w:rsidRDefault="00E232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E23256" w:rsidRDefault="00E23256">
    <w:pPr>
      <w:pBdr>
        <w:top w:val="nil"/>
        <w:left w:val="nil"/>
        <w:bottom w:val="nil"/>
        <w:right w:val="nil"/>
        <w:between w:val="nil"/>
      </w:pBdr>
      <w:tabs>
        <w:tab w:val="center" w:pos="4819"/>
        <w:tab w:val="right" w:pos="9638"/>
      </w:tabs>
      <w:jc w:val="center"/>
      <w:rPr>
        <w:color w:val="000000"/>
        <w:sz w:val="24"/>
        <w:szCs w:val="24"/>
      </w:rPr>
    </w:pPr>
  </w:p>
  <w:p w14:paraId="0000006E" w14:textId="77777777" w:rsidR="00E23256" w:rsidRDefault="00E23256">
    <w:pPr>
      <w:pBdr>
        <w:top w:val="nil"/>
        <w:left w:val="nil"/>
        <w:bottom w:val="nil"/>
        <w:right w:val="nil"/>
        <w:between w:val="nil"/>
      </w:pBdr>
      <w:tabs>
        <w:tab w:val="center" w:pos="4819"/>
        <w:tab w:val="right" w:pos="9638"/>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11148" w14:textId="77777777" w:rsidR="0023520C" w:rsidRDefault="0023520C">
      <w:r>
        <w:separator/>
      </w:r>
    </w:p>
  </w:footnote>
  <w:footnote w:type="continuationSeparator" w:id="0">
    <w:p w14:paraId="5F694464" w14:textId="77777777" w:rsidR="0023520C" w:rsidRDefault="0023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65913"/>
    <w:multiLevelType w:val="multilevel"/>
    <w:tmpl w:val="01685D0E"/>
    <w:lvl w:ilvl="0">
      <w:start w:val="1"/>
      <w:numFmt w:val="lowerLetter"/>
      <w:lvlText w:val="%1)"/>
      <w:lvlJc w:val="left"/>
      <w:pPr>
        <w:ind w:left="112" w:hanging="279"/>
      </w:pPr>
      <w:rPr>
        <w:rFonts w:ascii="Arial" w:eastAsia="Arial" w:hAnsi="Arial" w:cs="Arial"/>
        <w:sz w:val="22"/>
        <w:szCs w:val="22"/>
      </w:rPr>
    </w:lvl>
    <w:lvl w:ilvl="1">
      <w:numFmt w:val="bullet"/>
      <w:lvlText w:val="•"/>
      <w:lvlJc w:val="left"/>
      <w:pPr>
        <w:ind w:left="1094" w:hanging="279"/>
      </w:pPr>
    </w:lvl>
    <w:lvl w:ilvl="2">
      <w:numFmt w:val="bullet"/>
      <w:lvlText w:val="•"/>
      <w:lvlJc w:val="left"/>
      <w:pPr>
        <w:ind w:left="2068" w:hanging="279"/>
      </w:pPr>
    </w:lvl>
    <w:lvl w:ilvl="3">
      <w:numFmt w:val="bullet"/>
      <w:lvlText w:val="•"/>
      <w:lvlJc w:val="left"/>
      <w:pPr>
        <w:ind w:left="3042" w:hanging="279"/>
      </w:pPr>
    </w:lvl>
    <w:lvl w:ilvl="4">
      <w:numFmt w:val="bullet"/>
      <w:lvlText w:val="•"/>
      <w:lvlJc w:val="left"/>
      <w:pPr>
        <w:ind w:left="4016" w:hanging="278"/>
      </w:pPr>
    </w:lvl>
    <w:lvl w:ilvl="5">
      <w:numFmt w:val="bullet"/>
      <w:lvlText w:val="•"/>
      <w:lvlJc w:val="left"/>
      <w:pPr>
        <w:ind w:left="4990" w:hanging="279"/>
      </w:pPr>
    </w:lvl>
    <w:lvl w:ilvl="6">
      <w:numFmt w:val="bullet"/>
      <w:lvlText w:val="•"/>
      <w:lvlJc w:val="left"/>
      <w:pPr>
        <w:ind w:left="5964" w:hanging="279"/>
      </w:pPr>
    </w:lvl>
    <w:lvl w:ilvl="7">
      <w:numFmt w:val="bullet"/>
      <w:lvlText w:val="•"/>
      <w:lvlJc w:val="left"/>
      <w:pPr>
        <w:ind w:left="6938" w:hanging="279"/>
      </w:pPr>
    </w:lvl>
    <w:lvl w:ilvl="8">
      <w:numFmt w:val="bullet"/>
      <w:lvlText w:val="•"/>
      <w:lvlJc w:val="left"/>
      <w:pPr>
        <w:ind w:left="7912" w:hanging="278"/>
      </w:pPr>
    </w:lvl>
  </w:abstractNum>
  <w:abstractNum w:abstractNumId="1" w15:restartNumberingAfterBreak="0">
    <w:nsid w:val="24EE7FB9"/>
    <w:multiLevelType w:val="hybridMultilevel"/>
    <w:tmpl w:val="C44C4870"/>
    <w:lvl w:ilvl="0" w:tplc="B3288EEA">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EF64EEB"/>
    <w:multiLevelType w:val="multilevel"/>
    <w:tmpl w:val="CA88789C"/>
    <w:lvl w:ilvl="0">
      <w:start w:val="1"/>
      <w:numFmt w:val="decimal"/>
      <w:lvlText w:val="%1)"/>
      <w:lvlJc w:val="left"/>
      <w:pPr>
        <w:ind w:left="112" w:hanging="288"/>
      </w:pPr>
      <w:rPr>
        <w:rFonts w:ascii="Arial" w:eastAsia="Arial" w:hAnsi="Arial" w:cs="Arial"/>
        <w:sz w:val="22"/>
        <w:szCs w:val="22"/>
      </w:rPr>
    </w:lvl>
    <w:lvl w:ilvl="1">
      <w:numFmt w:val="bullet"/>
      <w:lvlText w:val="•"/>
      <w:lvlJc w:val="left"/>
      <w:pPr>
        <w:ind w:left="1094" w:hanging="287"/>
      </w:pPr>
    </w:lvl>
    <w:lvl w:ilvl="2">
      <w:numFmt w:val="bullet"/>
      <w:lvlText w:val="•"/>
      <w:lvlJc w:val="left"/>
      <w:pPr>
        <w:ind w:left="2068" w:hanging="288"/>
      </w:pPr>
    </w:lvl>
    <w:lvl w:ilvl="3">
      <w:numFmt w:val="bullet"/>
      <w:lvlText w:val="•"/>
      <w:lvlJc w:val="left"/>
      <w:pPr>
        <w:ind w:left="3042" w:hanging="288"/>
      </w:pPr>
    </w:lvl>
    <w:lvl w:ilvl="4">
      <w:numFmt w:val="bullet"/>
      <w:lvlText w:val="•"/>
      <w:lvlJc w:val="left"/>
      <w:pPr>
        <w:ind w:left="4016" w:hanging="288"/>
      </w:pPr>
    </w:lvl>
    <w:lvl w:ilvl="5">
      <w:numFmt w:val="bullet"/>
      <w:lvlText w:val="•"/>
      <w:lvlJc w:val="left"/>
      <w:pPr>
        <w:ind w:left="4990" w:hanging="288"/>
      </w:pPr>
    </w:lvl>
    <w:lvl w:ilvl="6">
      <w:numFmt w:val="bullet"/>
      <w:lvlText w:val="•"/>
      <w:lvlJc w:val="left"/>
      <w:pPr>
        <w:ind w:left="5964" w:hanging="288"/>
      </w:pPr>
    </w:lvl>
    <w:lvl w:ilvl="7">
      <w:numFmt w:val="bullet"/>
      <w:lvlText w:val="•"/>
      <w:lvlJc w:val="left"/>
      <w:pPr>
        <w:ind w:left="6938" w:hanging="288"/>
      </w:pPr>
    </w:lvl>
    <w:lvl w:ilvl="8">
      <w:numFmt w:val="bullet"/>
      <w:lvlText w:val="•"/>
      <w:lvlJc w:val="left"/>
      <w:pPr>
        <w:ind w:left="7912" w:hanging="287"/>
      </w:pPr>
    </w:lvl>
  </w:abstractNum>
  <w:abstractNum w:abstractNumId="3" w15:restartNumberingAfterBreak="0">
    <w:nsid w:val="411D4601"/>
    <w:multiLevelType w:val="multilevel"/>
    <w:tmpl w:val="B552A516"/>
    <w:lvl w:ilvl="0">
      <w:start w:val="1"/>
      <w:numFmt w:val="upperLetter"/>
      <w:lvlText w:val="%1)"/>
      <w:lvlJc w:val="left"/>
      <w:pPr>
        <w:ind w:left="395" w:hanging="284"/>
      </w:pPr>
      <w:rPr>
        <w:rFonts w:ascii="Arial" w:eastAsia="Arial" w:hAnsi="Arial" w:cs="Arial"/>
        <w:sz w:val="22"/>
        <w:szCs w:val="22"/>
      </w:rPr>
    </w:lvl>
    <w:lvl w:ilvl="1">
      <w:numFmt w:val="bullet"/>
      <w:lvlText w:val="•"/>
      <w:lvlJc w:val="left"/>
      <w:pPr>
        <w:ind w:left="1346" w:hanging="284"/>
      </w:pPr>
    </w:lvl>
    <w:lvl w:ilvl="2">
      <w:numFmt w:val="bullet"/>
      <w:lvlText w:val="•"/>
      <w:lvlJc w:val="left"/>
      <w:pPr>
        <w:ind w:left="2292" w:hanging="284"/>
      </w:pPr>
    </w:lvl>
    <w:lvl w:ilvl="3">
      <w:numFmt w:val="bullet"/>
      <w:lvlText w:val="•"/>
      <w:lvlJc w:val="left"/>
      <w:pPr>
        <w:ind w:left="3238" w:hanging="283"/>
      </w:pPr>
    </w:lvl>
    <w:lvl w:ilvl="4">
      <w:numFmt w:val="bullet"/>
      <w:lvlText w:val="•"/>
      <w:lvlJc w:val="left"/>
      <w:pPr>
        <w:ind w:left="4184" w:hanging="284"/>
      </w:pPr>
    </w:lvl>
    <w:lvl w:ilvl="5">
      <w:numFmt w:val="bullet"/>
      <w:lvlText w:val="•"/>
      <w:lvlJc w:val="left"/>
      <w:pPr>
        <w:ind w:left="5130" w:hanging="284"/>
      </w:pPr>
    </w:lvl>
    <w:lvl w:ilvl="6">
      <w:numFmt w:val="bullet"/>
      <w:lvlText w:val="•"/>
      <w:lvlJc w:val="left"/>
      <w:pPr>
        <w:ind w:left="6076" w:hanging="284"/>
      </w:pPr>
    </w:lvl>
    <w:lvl w:ilvl="7">
      <w:numFmt w:val="bullet"/>
      <w:lvlText w:val="•"/>
      <w:lvlJc w:val="left"/>
      <w:pPr>
        <w:ind w:left="7022" w:hanging="283"/>
      </w:pPr>
    </w:lvl>
    <w:lvl w:ilvl="8">
      <w:numFmt w:val="bullet"/>
      <w:lvlText w:val="•"/>
      <w:lvlJc w:val="left"/>
      <w:pPr>
        <w:ind w:left="7968" w:hanging="284"/>
      </w:pPr>
    </w:lvl>
  </w:abstractNum>
  <w:abstractNum w:abstractNumId="4" w15:restartNumberingAfterBreak="0">
    <w:nsid w:val="53256A42"/>
    <w:multiLevelType w:val="multilevel"/>
    <w:tmpl w:val="54BE5674"/>
    <w:lvl w:ilvl="0">
      <w:numFmt w:val="bullet"/>
      <w:lvlText w:val="-"/>
      <w:lvlJc w:val="left"/>
      <w:pPr>
        <w:ind w:left="200" w:hanging="200"/>
      </w:pPr>
      <w:rPr>
        <w:rFonts w:ascii="Arial" w:eastAsia="Arial" w:hAnsi="Arial" w:cs="Arial"/>
        <w:sz w:val="22"/>
        <w:szCs w:val="22"/>
      </w:rPr>
    </w:lvl>
    <w:lvl w:ilvl="1">
      <w:numFmt w:val="bullet"/>
      <w:lvlText w:val="•"/>
      <w:lvlJc w:val="left"/>
      <w:pPr>
        <w:ind w:left="1094" w:hanging="200"/>
      </w:pPr>
    </w:lvl>
    <w:lvl w:ilvl="2">
      <w:numFmt w:val="bullet"/>
      <w:lvlText w:val="•"/>
      <w:lvlJc w:val="left"/>
      <w:pPr>
        <w:ind w:left="2068" w:hanging="200"/>
      </w:pPr>
    </w:lvl>
    <w:lvl w:ilvl="3">
      <w:numFmt w:val="bullet"/>
      <w:lvlText w:val="•"/>
      <w:lvlJc w:val="left"/>
      <w:pPr>
        <w:ind w:left="3042" w:hanging="200"/>
      </w:pPr>
    </w:lvl>
    <w:lvl w:ilvl="4">
      <w:numFmt w:val="bullet"/>
      <w:lvlText w:val="•"/>
      <w:lvlJc w:val="left"/>
      <w:pPr>
        <w:ind w:left="4016" w:hanging="200"/>
      </w:pPr>
    </w:lvl>
    <w:lvl w:ilvl="5">
      <w:numFmt w:val="bullet"/>
      <w:lvlText w:val="•"/>
      <w:lvlJc w:val="left"/>
      <w:pPr>
        <w:ind w:left="4990" w:hanging="200"/>
      </w:pPr>
    </w:lvl>
    <w:lvl w:ilvl="6">
      <w:numFmt w:val="bullet"/>
      <w:lvlText w:val="•"/>
      <w:lvlJc w:val="left"/>
      <w:pPr>
        <w:ind w:left="5964" w:hanging="200"/>
      </w:pPr>
    </w:lvl>
    <w:lvl w:ilvl="7">
      <w:numFmt w:val="bullet"/>
      <w:lvlText w:val="•"/>
      <w:lvlJc w:val="left"/>
      <w:pPr>
        <w:ind w:left="6938" w:hanging="200"/>
      </w:pPr>
    </w:lvl>
    <w:lvl w:ilvl="8">
      <w:numFmt w:val="bullet"/>
      <w:lvlText w:val="•"/>
      <w:lvlJc w:val="left"/>
      <w:pPr>
        <w:ind w:left="7912" w:hanging="200"/>
      </w:pPr>
    </w:lvl>
  </w:abstractNum>
  <w:abstractNum w:abstractNumId="5" w15:restartNumberingAfterBreak="0">
    <w:nsid w:val="5E5C4AA6"/>
    <w:multiLevelType w:val="multilevel"/>
    <w:tmpl w:val="02723ED4"/>
    <w:lvl w:ilvl="0">
      <w:start w:val="1"/>
      <w:numFmt w:val="lowerLetter"/>
      <w:lvlText w:val="%1)"/>
      <w:lvlJc w:val="left"/>
      <w:pPr>
        <w:ind w:left="372" w:hanging="260"/>
      </w:pPr>
      <w:rPr>
        <w:rFonts w:ascii="Times New Roman" w:eastAsia="Times New Roman" w:hAnsi="Times New Roman" w:cs="Times New Roman"/>
        <w:sz w:val="22"/>
        <w:szCs w:val="22"/>
      </w:rPr>
    </w:lvl>
    <w:lvl w:ilvl="1">
      <w:numFmt w:val="bullet"/>
      <w:lvlText w:val="•"/>
      <w:lvlJc w:val="left"/>
      <w:pPr>
        <w:ind w:left="1328" w:hanging="260"/>
      </w:pPr>
    </w:lvl>
    <w:lvl w:ilvl="2">
      <w:numFmt w:val="bullet"/>
      <w:lvlText w:val="•"/>
      <w:lvlJc w:val="left"/>
      <w:pPr>
        <w:ind w:left="2276" w:hanging="260"/>
      </w:pPr>
    </w:lvl>
    <w:lvl w:ilvl="3">
      <w:numFmt w:val="bullet"/>
      <w:lvlText w:val="•"/>
      <w:lvlJc w:val="left"/>
      <w:pPr>
        <w:ind w:left="3224" w:hanging="260"/>
      </w:pPr>
    </w:lvl>
    <w:lvl w:ilvl="4">
      <w:numFmt w:val="bullet"/>
      <w:lvlText w:val="•"/>
      <w:lvlJc w:val="left"/>
      <w:pPr>
        <w:ind w:left="4172" w:hanging="260"/>
      </w:pPr>
    </w:lvl>
    <w:lvl w:ilvl="5">
      <w:numFmt w:val="bullet"/>
      <w:lvlText w:val="•"/>
      <w:lvlJc w:val="left"/>
      <w:pPr>
        <w:ind w:left="5120" w:hanging="260"/>
      </w:pPr>
    </w:lvl>
    <w:lvl w:ilvl="6">
      <w:numFmt w:val="bullet"/>
      <w:lvlText w:val="•"/>
      <w:lvlJc w:val="left"/>
      <w:pPr>
        <w:ind w:left="6068" w:hanging="260"/>
      </w:pPr>
    </w:lvl>
    <w:lvl w:ilvl="7">
      <w:numFmt w:val="bullet"/>
      <w:lvlText w:val="•"/>
      <w:lvlJc w:val="left"/>
      <w:pPr>
        <w:ind w:left="7016" w:hanging="260"/>
      </w:pPr>
    </w:lvl>
    <w:lvl w:ilvl="8">
      <w:numFmt w:val="bullet"/>
      <w:lvlText w:val="•"/>
      <w:lvlJc w:val="left"/>
      <w:pPr>
        <w:ind w:left="7964" w:hanging="260"/>
      </w:pPr>
    </w:lvl>
  </w:abstractNum>
  <w:abstractNum w:abstractNumId="6" w15:restartNumberingAfterBreak="0">
    <w:nsid w:val="777B7709"/>
    <w:multiLevelType w:val="multilevel"/>
    <w:tmpl w:val="BA3C1566"/>
    <w:lvl w:ilvl="0">
      <w:numFmt w:val="bullet"/>
      <w:lvlText w:val="-"/>
      <w:lvlJc w:val="left"/>
      <w:pPr>
        <w:ind w:left="132" w:hanging="140"/>
      </w:pPr>
      <w:rPr>
        <w:rFonts w:ascii="Times New Roman" w:eastAsia="Times New Roman" w:hAnsi="Times New Roman" w:cs="Times New Roman"/>
        <w:sz w:val="24"/>
        <w:szCs w:val="24"/>
      </w:rPr>
    </w:lvl>
    <w:lvl w:ilvl="1">
      <w:numFmt w:val="bullet"/>
      <w:lvlText w:val="•"/>
      <w:lvlJc w:val="left"/>
      <w:pPr>
        <w:ind w:left="1116" w:hanging="140"/>
      </w:pPr>
    </w:lvl>
    <w:lvl w:ilvl="2">
      <w:numFmt w:val="bullet"/>
      <w:lvlText w:val="•"/>
      <w:lvlJc w:val="left"/>
      <w:pPr>
        <w:ind w:left="2093" w:hanging="140"/>
      </w:pPr>
    </w:lvl>
    <w:lvl w:ilvl="3">
      <w:numFmt w:val="bullet"/>
      <w:lvlText w:val="•"/>
      <w:lvlJc w:val="left"/>
      <w:pPr>
        <w:ind w:left="3069" w:hanging="140"/>
      </w:pPr>
    </w:lvl>
    <w:lvl w:ilvl="4">
      <w:numFmt w:val="bullet"/>
      <w:lvlText w:val="•"/>
      <w:lvlJc w:val="left"/>
      <w:pPr>
        <w:ind w:left="4046" w:hanging="140"/>
      </w:pPr>
    </w:lvl>
    <w:lvl w:ilvl="5">
      <w:numFmt w:val="bullet"/>
      <w:lvlText w:val="•"/>
      <w:lvlJc w:val="left"/>
      <w:pPr>
        <w:ind w:left="5023" w:hanging="140"/>
      </w:pPr>
    </w:lvl>
    <w:lvl w:ilvl="6">
      <w:numFmt w:val="bullet"/>
      <w:lvlText w:val="•"/>
      <w:lvlJc w:val="left"/>
      <w:pPr>
        <w:ind w:left="5999" w:hanging="140"/>
      </w:pPr>
    </w:lvl>
    <w:lvl w:ilvl="7">
      <w:numFmt w:val="bullet"/>
      <w:lvlText w:val="•"/>
      <w:lvlJc w:val="left"/>
      <w:pPr>
        <w:ind w:left="6976" w:hanging="140"/>
      </w:pPr>
    </w:lvl>
    <w:lvl w:ilvl="8">
      <w:numFmt w:val="bullet"/>
      <w:lvlText w:val="•"/>
      <w:lvlJc w:val="left"/>
      <w:pPr>
        <w:ind w:left="7953" w:hanging="140"/>
      </w:pPr>
    </w:lvl>
  </w:abstractNum>
  <w:num w:numId="1">
    <w:abstractNumId w:val="5"/>
  </w:num>
  <w:num w:numId="2">
    <w:abstractNumId w:val="4"/>
  </w:num>
  <w:num w:numId="3">
    <w:abstractNumId w:val="0"/>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56"/>
    <w:rsid w:val="00023188"/>
    <w:rsid w:val="001055B9"/>
    <w:rsid w:val="001356B0"/>
    <w:rsid w:val="0023520C"/>
    <w:rsid w:val="00237451"/>
    <w:rsid w:val="005F19A3"/>
    <w:rsid w:val="006A4EAB"/>
    <w:rsid w:val="006A6751"/>
    <w:rsid w:val="006B1368"/>
    <w:rsid w:val="00931BF1"/>
    <w:rsid w:val="00A739F4"/>
    <w:rsid w:val="00B25CC9"/>
    <w:rsid w:val="00CB3947"/>
    <w:rsid w:val="00E23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8E51"/>
  <w15:docId w15:val="{3DEF8497-6CEF-4561-B7DB-1F1187D4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jc w:val="center"/>
      <w:outlineLvl w:val="0"/>
    </w:pPr>
    <w:rPr>
      <w:sz w:val="24"/>
      <w:szCs w:val="24"/>
    </w:rPr>
  </w:style>
  <w:style w:type="paragraph" w:styleId="Titolo2">
    <w:name w:val="heading 2"/>
    <w:basedOn w:val="Normale"/>
    <w:next w:val="Normale"/>
    <w:uiPriority w:val="9"/>
    <w:semiHidden/>
    <w:unhideWhenUsed/>
    <w:qFormat/>
    <w:pPr>
      <w:keepNext/>
      <w:outlineLvl w:val="1"/>
    </w:pPr>
    <w:rPr>
      <w:b/>
      <w:sz w:val="24"/>
      <w:szCs w:val="24"/>
    </w:rPr>
  </w:style>
  <w:style w:type="paragraph" w:styleId="Titolo3">
    <w:name w:val="heading 3"/>
    <w:basedOn w:val="Normale"/>
    <w:next w:val="Normale"/>
    <w:uiPriority w:val="9"/>
    <w:semiHidden/>
    <w:unhideWhenUsed/>
    <w:qFormat/>
    <w:pPr>
      <w:keepNext/>
      <w:ind w:left="5529"/>
      <w:outlineLvl w:val="2"/>
    </w:pPr>
    <w:rPr>
      <w:sz w:val="24"/>
      <w:szCs w:val="24"/>
    </w:rPr>
  </w:style>
  <w:style w:type="paragraph" w:styleId="Titolo4">
    <w:name w:val="heading 4"/>
    <w:basedOn w:val="Normale"/>
    <w:next w:val="Normale"/>
    <w:uiPriority w:val="9"/>
    <w:semiHidden/>
    <w:unhideWhenUsed/>
    <w:qFormat/>
    <w:pPr>
      <w:keepNext/>
      <w:jc w:val="center"/>
      <w:outlineLvl w:val="3"/>
    </w:pPr>
    <w:rPr>
      <w:b/>
      <w:i/>
    </w:rPr>
  </w:style>
  <w:style w:type="paragraph" w:styleId="Titolo5">
    <w:name w:val="heading 5"/>
    <w:basedOn w:val="Normale"/>
    <w:next w:val="Normale"/>
    <w:uiPriority w:val="9"/>
    <w:semiHidden/>
    <w:unhideWhenUsed/>
    <w:qFormat/>
    <w:pPr>
      <w:keepNext/>
      <w:jc w:val="both"/>
      <w:outlineLvl w:val="4"/>
    </w:pPr>
    <w:rPr>
      <w:sz w:val="24"/>
      <w:szCs w:val="24"/>
    </w:rPr>
  </w:style>
  <w:style w:type="paragraph" w:styleId="Titolo6">
    <w:name w:val="heading 6"/>
    <w:basedOn w:val="Normale"/>
    <w:next w:val="Normale"/>
    <w:uiPriority w:val="9"/>
    <w:semiHidden/>
    <w:unhideWhenUsed/>
    <w:qFormat/>
    <w:pPr>
      <w:keepNext/>
      <w:jc w:val="right"/>
      <w:outlineLvl w:val="5"/>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i/>
      <w:sz w:val="32"/>
      <w:szCs w:val="32"/>
    </w:rPr>
  </w:style>
  <w:style w:type="paragraph" w:styleId="Sottotitolo">
    <w:name w:val="Subtitle"/>
    <w:basedOn w:val="Normale"/>
    <w:next w:val="Normale"/>
    <w:uiPriority w:val="11"/>
    <w:qFormat/>
    <w:pPr>
      <w:spacing w:after="60"/>
      <w:jc w:val="center"/>
    </w:pPr>
    <w:rPr>
      <w:rFonts w:ascii="Calibri" w:eastAsia="Calibri" w:hAnsi="Calibri" w:cs="Calibri"/>
      <w:sz w:val="24"/>
      <w:szCs w:val="24"/>
    </w:r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predefinitoparagrafo"/>
    <w:link w:val="Testocommento"/>
    <w:uiPriority w:val="99"/>
    <w:semiHidden/>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6B13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1368"/>
    <w:rPr>
      <w:rFonts w:ascii="Segoe UI" w:hAnsi="Segoe UI" w:cs="Segoe UI"/>
      <w:sz w:val="18"/>
      <w:szCs w:val="18"/>
    </w:rPr>
  </w:style>
  <w:style w:type="character" w:styleId="Collegamentoipertestuale">
    <w:name w:val="Hyperlink"/>
    <w:basedOn w:val="Carpredefinitoparagrafo"/>
    <w:uiPriority w:val="99"/>
    <w:unhideWhenUsed/>
    <w:rsid w:val="006A4EAB"/>
    <w:rPr>
      <w:color w:val="0000FF" w:themeColor="hyperlink"/>
      <w:u w:val="single"/>
    </w:rPr>
  </w:style>
  <w:style w:type="character" w:styleId="Menzionenonrisolta">
    <w:name w:val="Unresolved Mention"/>
    <w:basedOn w:val="Carpredefinitoparagrafo"/>
    <w:uiPriority w:val="99"/>
    <w:semiHidden/>
    <w:unhideWhenUsed/>
    <w:rsid w:val="006A4EAB"/>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1055B9"/>
    <w:rPr>
      <w:b/>
      <w:bCs/>
    </w:rPr>
  </w:style>
  <w:style w:type="character" w:customStyle="1" w:styleId="SoggettocommentoCarattere">
    <w:name w:val="Soggetto commento Carattere"/>
    <w:basedOn w:val="TestocommentoCarattere"/>
    <w:link w:val="Soggettocommento"/>
    <w:uiPriority w:val="99"/>
    <w:semiHidden/>
    <w:rsid w:val="001055B9"/>
    <w:rPr>
      <w:b/>
      <w:bCs/>
    </w:rPr>
  </w:style>
  <w:style w:type="character" w:styleId="Collegamentovisitato">
    <w:name w:val="FollowedHyperlink"/>
    <w:basedOn w:val="Carpredefinitoparagrafo"/>
    <w:uiPriority w:val="99"/>
    <w:semiHidden/>
    <w:unhideWhenUsed/>
    <w:rsid w:val="001055B9"/>
    <w:rPr>
      <w:color w:val="800080" w:themeColor="followedHyperlink"/>
      <w:u w:val="single"/>
    </w:rPr>
  </w:style>
  <w:style w:type="paragraph" w:styleId="Paragrafoelenco">
    <w:name w:val="List Paragraph"/>
    <w:basedOn w:val="Normale"/>
    <w:uiPriority w:val="34"/>
    <w:qFormat/>
    <w:rsid w:val="006A6751"/>
    <w:pPr>
      <w:ind w:left="720"/>
      <w:contextualSpacing/>
    </w:pPr>
    <w:rPr>
      <w:sz w:val="24"/>
      <w:szCs w:val="24"/>
    </w:rPr>
  </w:style>
  <w:style w:type="paragraph" w:styleId="Nessunaspaziatura">
    <w:name w:val="No Spacing"/>
    <w:uiPriority w:val="1"/>
    <w:qFormat/>
    <w:rsid w:val="006A6751"/>
    <w:rPr>
      <w:rFonts w:asciiTheme="minorHAnsi" w:eastAsiaTheme="minorEastAsia" w:hAnsiTheme="minorHAnsi" w:cstheme="minorBid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tocollo@po.legalmail.camcom.it" TargetMode="External"/><Relationship Id="rId13" Type="http://schemas.openxmlformats.org/officeDocument/2006/relationships/hyperlink" Target="mailto:dpo@asset.basilicata.ca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cc.assetbasilicata@legalmail.it" TargetMode="External"/><Relationship Id="rId12" Type="http://schemas.openxmlformats.org/officeDocument/2006/relationships/hyperlink" Target="mailto:segreteria@comune.saronno.va.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set.basilicata@legalmail.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asilicata.camcom.it/" TargetMode="External"/><Relationship Id="rId4" Type="http://schemas.openxmlformats.org/officeDocument/2006/relationships/webSettings" Target="webSettings.xml"/><Relationship Id="rId9" Type="http://schemas.openxmlformats.org/officeDocument/2006/relationships/hyperlink" Target="https://www.assetbasilicata.it/asset/Startup.do" TargetMode="External"/><Relationship Id="rId14" Type="http://schemas.openxmlformats.org/officeDocument/2006/relationships/hyperlink" Target="mailto:dpo.assetbasilicata@legalmai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2882</Words>
  <Characters>16434</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Mediatori</dc:creator>
  <cp:lastModifiedBy>EMT0222@bas.intra.cciaa.net</cp:lastModifiedBy>
  <cp:revision>7</cp:revision>
  <dcterms:created xsi:type="dcterms:W3CDTF">2025-08-08T09:10:00Z</dcterms:created>
  <dcterms:modified xsi:type="dcterms:W3CDTF">2025-09-15T11:17:00Z</dcterms:modified>
</cp:coreProperties>
</file>