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80" w:lineRule="auto"/>
        <w:rPr>
          <w:b/>
          <w:sz w:val="20"/>
          <w:szCs w:val="20"/>
        </w:rPr>
      </w:pPr>
    </w:p>
    <w:tbl>
      <w:tblPr>
        <w:tblStyle w:val="29"/>
        <w:tblW w:w="99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116"/>
        <w:gridCol w:w="1917"/>
        <w:gridCol w:w="4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727" w:type="dxa"/>
          </w:tcPr>
          <w:p>
            <w:pPr>
              <w:spacing w:after="0" w:line="240" w:lineRule="auto"/>
              <w:jc w:val="center"/>
              <w:rPr>
                <w:rFonts w:ascii="Open Sans" w:hAnsi="Open Sans" w:eastAsia="Open Sans" w:cs="Open Sans"/>
                <w:b/>
                <w:color w:val="C00000"/>
                <w:sz w:val="28"/>
                <w:szCs w:val="28"/>
                <w:u w:val="single"/>
              </w:rPr>
            </w:pPr>
            <w:bookmarkStart w:id="0" w:name="_heading=h.gjdgxs" w:colFirst="0" w:colLast="0"/>
            <w:bookmarkEnd w:id="0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10795</wp:posOffset>
                  </wp:positionV>
                  <wp:extent cx="962025" cy="666750"/>
                  <wp:effectExtent l="0" t="0" r="9525" b="0"/>
                  <wp:wrapNone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9" cy="66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16" w:type="dxa"/>
          </w:tcPr>
          <w:p>
            <w:pPr>
              <w:spacing w:after="0" w:line="240" w:lineRule="auto"/>
              <w:jc w:val="center"/>
              <w:rPr>
                <w:rFonts w:ascii="Open Sans" w:hAnsi="Open Sans" w:eastAsia="Open Sans" w:cs="Open Sans"/>
                <w:b/>
                <w:color w:val="C00000"/>
                <w:sz w:val="28"/>
                <w:szCs w:val="28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Open Sans" w:hAnsi="Open Sans" w:eastAsia="Open Sans" w:cs="Open Sans"/>
                <w:b/>
                <w:color w:val="C00000"/>
                <w:sz w:val="28"/>
                <w:szCs w:val="28"/>
                <w:u w:val="single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137160</wp:posOffset>
                  </wp:positionV>
                  <wp:extent cx="1104900" cy="238125"/>
                  <wp:effectExtent l="0" t="0" r="0" b="9525"/>
                  <wp:wrapNone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7" w:type="dxa"/>
          </w:tcPr>
          <w:p>
            <w:pPr>
              <w:spacing w:after="0" w:line="240" w:lineRule="auto"/>
              <w:rPr>
                <w:rFonts w:ascii="Open Sans" w:hAnsi="Open Sans" w:eastAsia="Open Sans" w:cs="Open Sans"/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color w:val="000000"/>
              </w:rPr>
              <w:drawing>
                <wp:inline distT="0" distB="0" distL="0" distR="0">
                  <wp:extent cx="1123950" cy="762000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273" cy="762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7" w:type="dxa"/>
          </w:tcPr>
          <w:p>
            <w:pPr>
              <w:spacing w:after="0" w:line="240" w:lineRule="auto"/>
              <w:jc w:val="center"/>
              <w:rPr>
                <w:rFonts w:ascii="Open Sans" w:hAnsi="Open Sans" w:eastAsia="Open Sans" w:cs="Open Sans"/>
                <w:b/>
                <w:color w:val="C00000"/>
                <w:sz w:val="28"/>
                <w:szCs w:val="28"/>
                <w:u w:val="single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243205</wp:posOffset>
                  </wp:positionV>
                  <wp:extent cx="2492375" cy="502285"/>
                  <wp:effectExtent l="0" t="0" r="3175" b="1206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after="0" w:line="240" w:lineRule="auto"/>
        <w:jc w:val="center"/>
        <w:rPr>
          <w:rFonts w:ascii="Open Sans" w:hAnsi="Open Sans" w:eastAsia="Open Sans" w:cs="Open Sans"/>
          <w:b/>
          <w:color w:val="C00000"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ascii="Open Sans" w:hAnsi="Open Sans" w:eastAsia="Open Sans" w:cs="Open Sans"/>
          <w:b/>
          <w:color w:val="C00000"/>
          <w:sz w:val="28"/>
          <w:szCs w:val="28"/>
          <w:u w:val="single"/>
        </w:rPr>
      </w:pPr>
    </w:p>
    <w:p>
      <w:pPr>
        <w:spacing w:after="0" w:line="240" w:lineRule="auto"/>
        <w:rPr>
          <w:rFonts w:ascii="Open Sans" w:hAnsi="Open Sans" w:eastAsia="Open Sans" w:cs="Open Sans"/>
          <w:b/>
          <w:color w:val="C00000"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ascii="Open Sans" w:hAnsi="Open Sans" w:eastAsia="Open Sans" w:cs="Open Sans"/>
          <w:b/>
          <w:color w:val="366091"/>
        </w:rPr>
      </w:pPr>
      <w:r>
        <w:rPr>
          <w:rFonts w:ascii="Open Sans" w:hAnsi="Open Sans" w:eastAsia="Open Sans" w:cs="Open Sans"/>
          <w:b/>
          <w:color w:val="366091"/>
        </w:rPr>
        <w:t xml:space="preserve">STAY EXPORT – Informazione, formazione e accompagnamento all’estero </w:t>
      </w:r>
    </w:p>
    <w:p>
      <w:pPr>
        <w:spacing w:before="120" w:after="0" w:line="240" w:lineRule="auto"/>
        <w:jc w:val="center"/>
        <w:rPr>
          <w:rFonts w:ascii="Open Sans" w:hAnsi="Open Sans" w:eastAsia="Open Sans" w:cs="Open Sans"/>
          <w:b/>
          <w:color w:val="366091"/>
          <w:sz w:val="24"/>
          <w:szCs w:val="24"/>
          <w:u w:val="single"/>
        </w:rPr>
      </w:pPr>
      <w:r>
        <w:rPr>
          <w:rFonts w:ascii="Open Sans" w:hAnsi="Open Sans" w:eastAsia="Open Sans" w:cs="Open Sans"/>
          <w:b/>
          <w:color w:val="366091"/>
          <w:sz w:val="24"/>
          <w:szCs w:val="24"/>
          <w:u w:val="single"/>
        </w:rPr>
        <w:t>MANIFESTAZIONE DI INTERESSE</w:t>
      </w:r>
    </w:p>
    <w:p>
      <w:pPr>
        <w:spacing w:after="0" w:line="240" w:lineRule="auto"/>
        <w:rPr>
          <w:b/>
          <w:sz w:val="20"/>
          <w:szCs w:val="20"/>
        </w:rPr>
      </w:pPr>
    </w:p>
    <w:p>
      <w:pPr>
        <w:spacing w:after="0" w:line="240" w:lineRule="auto"/>
        <w:rPr>
          <w:b/>
          <w:sz w:val="20"/>
          <w:szCs w:val="20"/>
        </w:rPr>
      </w:pPr>
    </w:p>
    <w:p>
      <w:pPr>
        <w:spacing w:after="120" w:line="240" w:lineRule="auto"/>
        <w:jc w:val="both"/>
        <w:rPr>
          <w:rFonts w:ascii="Open Sans" w:hAnsi="Open Sans" w:eastAsia="Open Sans" w:cs="Open Sans"/>
          <w:b/>
          <w:color w:val="366091"/>
          <w:sz w:val="20"/>
          <w:szCs w:val="20"/>
        </w:rPr>
      </w:pPr>
      <w:r>
        <w:rPr>
          <w:rFonts w:ascii="Open Sans" w:hAnsi="Open Sans" w:eastAsia="Open Sans" w:cs="Open Sans"/>
          <w:b/>
          <w:color w:val="366091"/>
          <w:sz w:val="20"/>
          <w:szCs w:val="20"/>
        </w:rPr>
        <w:t>ART. 1 – FINALITA’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  <w:highlight w:val="none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Nell’ambito del </w:t>
      </w:r>
      <w:r>
        <w:rPr>
          <w:rFonts w:ascii="Open Sans" w:hAnsi="Open Sans" w:eastAsia="Open Sans" w:cs="Open Sans"/>
          <w:b/>
          <w:color w:val="366091"/>
          <w:sz w:val="20"/>
          <w:szCs w:val="20"/>
        </w:rPr>
        <w:t>Progetto Stay Export</w:t>
      </w: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, finanziato da Unioncamere (l’Unione Italiana delle Camere di Commercio) a valere sul Fondo Intercamerale di Intervento 2022 e in stretto collegamento con le iniziative realizzate nell’ambito del </w:t>
      </w:r>
      <w:r>
        <w:rPr>
          <w:rFonts w:ascii="Open Sans" w:hAnsi="Open Sans" w:eastAsia="Open Sans" w:cs="Open Sans"/>
          <w:b/>
          <w:color w:val="366091"/>
          <w:sz w:val="20"/>
          <w:szCs w:val="20"/>
        </w:rPr>
        <w:t>Progetto SEI (Sostegno all’Export dell’Italia)</w:t>
      </w: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, </w:t>
      </w:r>
      <w:bookmarkStart w:id="1" w:name="_Hlk126659421"/>
      <w:r>
        <w:rPr>
          <w:rFonts w:ascii="Open Sans" w:hAnsi="Open Sans" w:eastAsia="Open Sans" w:cs="Open Sans"/>
          <w:color w:val="366091"/>
          <w:sz w:val="20"/>
          <w:szCs w:val="20"/>
        </w:rPr>
        <w:t xml:space="preserve">la </w:t>
      </w:r>
      <w:r>
        <w:rPr>
          <w:rFonts w:ascii="Open Sans" w:hAnsi="Open Sans" w:eastAsia="Open Sans" w:cs="Open Sans"/>
          <w:b/>
          <w:color w:val="366091"/>
          <w:sz w:val="20"/>
          <w:szCs w:val="20"/>
        </w:rPr>
        <w:t>Camera di Commercio della Basilicata</w:t>
      </w:r>
      <w:r>
        <w:rPr>
          <w:rFonts w:ascii="Open Sans" w:hAnsi="Open Sans" w:eastAsia="Open Sans" w:cs="Open Sans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 xml:space="preserve">con la sua </w:t>
      </w:r>
      <w:r>
        <w:rPr>
          <w:rFonts w:ascii="Open Sans" w:hAnsi="Open Sans" w:eastAsia="Open Sans" w:cs="Open Sans"/>
          <w:b/>
          <w:color w:val="366091"/>
          <w:sz w:val="20"/>
          <w:szCs w:val="20"/>
          <w:highlight w:val="none"/>
        </w:rPr>
        <w:t>Azienda Speciale ASSET</w:t>
      </w: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 xml:space="preserve"> </w:t>
      </w:r>
      <w:bookmarkEnd w:id="1"/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 xml:space="preserve">avvia un insieme di azioni finalizzate ad aiutare le </w:t>
      </w:r>
      <w:r>
        <w:rPr>
          <w:rFonts w:ascii="Open Sans" w:hAnsi="Open Sans" w:eastAsia="Open Sans" w:cs="Open Sans"/>
          <w:b/>
          <w:color w:val="366091"/>
          <w:sz w:val="20"/>
          <w:szCs w:val="20"/>
          <w:highlight w:val="none"/>
        </w:rPr>
        <w:t>imprese esportatrici</w:t>
      </w: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 xml:space="preserve"> a fronteggiare le difficoltà sui mercati internazionali rilevate in questa fase a seguito del conflitto russo ucraino e della pandemia per rafforzare la propria presenza all’estero, attraverso la costruzione di un percorso di orientamento e di assistenza articolato. 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A seguito di una puntuale valutazione del grado di interesse e delle effettive capacità e potenzialità di presenza dell’impresa nei diversi paesi esteri, sarà prevista una </w:t>
      </w:r>
      <w:r>
        <w:rPr>
          <w:rFonts w:ascii="Open Sans" w:hAnsi="Open Sans" w:eastAsia="Open Sans" w:cs="Open Sans"/>
          <w:b/>
          <w:i/>
          <w:color w:val="366091"/>
          <w:sz w:val="20"/>
          <w:szCs w:val="20"/>
        </w:rPr>
        <w:t xml:space="preserve">attività di affiancamento personalizzato </w:t>
      </w:r>
      <w:r>
        <w:rPr>
          <w:rFonts w:ascii="Open Sans" w:hAnsi="Open Sans" w:eastAsia="Open Sans" w:cs="Open Sans"/>
          <w:color w:val="366091"/>
          <w:sz w:val="20"/>
          <w:szCs w:val="20"/>
        </w:rPr>
        <w:t>a distanza (</w:t>
      </w:r>
      <w:r>
        <w:rPr>
          <w:rFonts w:ascii="Open Sans" w:hAnsi="Open Sans" w:eastAsia="Open Sans" w:cs="Open Sans"/>
          <w:b/>
          <w:i/>
          <w:color w:val="366091"/>
          <w:sz w:val="20"/>
          <w:szCs w:val="20"/>
        </w:rPr>
        <w:t>web-mentoring</w:t>
      </w:r>
      <w:r>
        <w:rPr>
          <w:rFonts w:ascii="Open Sans" w:hAnsi="Open Sans" w:eastAsia="Open Sans" w:cs="Open Sans"/>
          <w:color w:val="366091"/>
          <w:sz w:val="20"/>
          <w:szCs w:val="20"/>
        </w:rPr>
        <w:t>) offerto dalla rete delle Camere di commercio Italiane all’estero (</w:t>
      </w:r>
      <w:r>
        <w:fldChar w:fldCharType="begin"/>
      </w:r>
      <w:r>
        <w:instrText xml:space="preserve"> HYPERLINK "https://www.assocamerestero.it/camere" \h </w:instrText>
      </w:r>
      <w:r>
        <w:fldChar w:fldCharType="separate"/>
      </w:r>
      <w:r>
        <w:rPr>
          <w:rFonts w:ascii="Open Sans" w:hAnsi="Open Sans" w:eastAsia="Open Sans" w:cs="Open Sans"/>
          <w:color w:val="0000FF"/>
          <w:sz w:val="20"/>
          <w:szCs w:val="20"/>
          <w:u w:val="single"/>
        </w:rPr>
        <w:t>https://www.assocamerestero.it/camere</w:t>
      </w:r>
      <w:r>
        <w:rPr>
          <w:rFonts w:ascii="Open Sans" w:hAnsi="Open Sans" w:eastAsia="Open Sans" w:cs="Open Sans"/>
          <w:color w:val="0000FF"/>
          <w:sz w:val="20"/>
          <w:szCs w:val="20"/>
          <w:u w:val="single"/>
        </w:rPr>
        <w:fldChar w:fldCharType="end"/>
      </w:r>
      <w:r>
        <w:rPr>
          <w:rFonts w:ascii="Open Sans" w:hAnsi="Open Sans" w:eastAsia="Open Sans" w:cs="Open Sans"/>
          <w:color w:val="366091"/>
          <w:sz w:val="20"/>
          <w:szCs w:val="20"/>
        </w:rPr>
        <w:t>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Tutti i servizi saranno erogati dalla rete delle </w:t>
      </w:r>
      <w:r>
        <w:rPr>
          <w:rFonts w:ascii="Open Sans" w:hAnsi="Open Sans" w:eastAsia="Open Sans" w:cs="Open Sans"/>
          <w:b/>
          <w:color w:val="366091"/>
          <w:sz w:val="20"/>
          <w:szCs w:val="20"/>
        </w:rPr>
        <w:t>Camere di Commercio Italiane all’Estero</w:t>
      </w:r>
      <w:r>
        <w:rPr>
          <w:rFonts w:ascii="Open Sans" w:hAnsi="Open Sans" w:eastAsia="Open Sans" w:cs="Open Sans"/>
          <w:color w:val="366091"/>
          <w:sz w:val="20"/>
          <w:szCs w:val="20"/>
        </w:rPr>
        <w:t>, che attueranno le iniziative previste per conto di Unioncamere.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b/>
          <w:color w:val="366091"/>
          <w:sz w:val="20"/>
          <w:szCs w:val="20"/>
        </w:rPr>
      </w:pPr>
    </w:p>
    <w:p>
      <w:pPr>
        <w:spacing w:after="120" w:line="240" w:lineRule="auto"/>
        <w:jc w:val="both"/>
        <w:rPr>
          <w:rFonts w:ascii="Open Sans" w:hAnsi="Open Sans" w:eastAsia="Open Sans" w:cs="Open Sans"/>
          <w:b/>
          <w:color w:val="366091"/>
          <w:sz w:val="20"/>
          <w:szCs w:val="20"/>
        </w:rPr>
      </w:pPr>
      <w:r>
        <w:rPr>
          <w:rFonts w:ascii="Open Sans" w:hAnsi="Open Sans" w:eastAsia="Open Sans" w:cs="Open Sans"/>
          <w:b/>
          <w:color w:val="366091"/>
          <w:sz w:val="20"/>
          <w:szCs w:val="20"/>
        </w:rPr>
        <w:t>ART. 2 – DESTINATARI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  <w:highlight w:val="none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1. Sono ammesse a partecipare le micro, piccole e medie imprese, come definite dall’Allegato I al Regolamento n. 651/2014/UE della Commissione europea, e consorzi, con sede e/o unità operativa nella </w:t>
      </w: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 xml:space="preserve">Regione Basilicata che al momento della presentazione della domanda siano in possesso dei seguenti requisiti: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  <w:highlight w:val="none"/>
        </w:rPr>
      </w:pP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>iscritte al Registro Imprese e in regola con la denuncia di inizio attività al Rea della Camera di Commercio della Basilicata con sede e/o unità operativa (escluso magazzino o deposito) nella Regione Basilicata;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in regola, e nell’esatta misura, con il pagamento del diritto annuale camerale;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non sottoposte a procedure concorsuali (quali: fallimento, amministrazione controllata, amministrazione straordinaria, concordato preventivo, liquidazione coatta amministrativa), e che non si trovino in stato di cessazione o sospensione dell’attività;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che non abbiano nei propri confronti cause di divieto, di decadenza o di sospensione di cui all’art. 67 della vigente normativa antimafia (D. Lgs. n. 159/2011 e s.m.i.)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rientranti in una delle seguenti categorie: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spacing w:after="0" w:line="240" w:lineRule="auto"/>
        <w:ind w:left="851" w:hanging="142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“potenziali esportatrici”: imprese che negli ultimi tre anni non hanno mai esportato ma presentano un elevato interesse ed effettive capacità e potenzialità di presenza all’estero;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spacing w:after="0" w:line="240" w:lineRule="auto"/>
        <w:ind w:left="851" w:hanging="142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“occasionali esportatrici”: quelle che</w:t>
      </w:r>
      <w:r>
        <w:rPr>
          <w:color w:val="000000"/>
        </w:rPr>
        <w:t xml:space="preserve"> </w:t>
      </w:r>
      <w:r>
        <w:rPr>
          <w:rFonts w:ascii="Open Sans" w:hAnsi="Open Sans" w:eastAsia="Open Sans" w:cs="Open Sans"/>
          <w:color w:val="366091"/>
          <w:sz w:val="20"/>
          <w:szCs w:val="20"/>
        </w:rPr>
        <w:t>negli ultimi tre anni hanno esportato per un solo anno, e/o quelle che esportano solo in uno/due mercati e/o quelle che esportano per meno del 20% del fatturato;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spacing w:after="0" w:line="240" w:lineRule="auto"/>
        <w:ind w:left="851" w:hanging="142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“abituali esportatrici”: quelle che</w:t>
      </w:r>
      <w:r>
        <w:rPr>
          <w:color w:val="000000"/>
        </w:rPr>
        <w:t xml:space="preserve"> </w:t>
      </w:r>
      <w:r>
        <w:rPr>
          <w:rFonts w:ascii="Open Sans" w:hAnsi="Open Sans" w:eastAsia="Open Sans" w:cs="Open Sans"/>
          <w:color w:val="366091"/>
          <w:sz w:val="20"/>
          <w:szCs w:val="20"/>
        </w:rPr>
        <w:t>negli ultimi tre anni hanno esportato per almeno due anni, e/o quelle che esportano in almeno tre mercati esteri e/o quelle che esportano per oltre il 20% del fatturato;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142"/>
        <w:jc w:val="both"/>
        <w:rPr>
          <w:rFonts w:ascii="Open Sans" w:hAnsi="Open Sans" w:eastAsia="Open Sans" w:cs="Open Sans"/>
          <w:color w:val="366091"/>
          <w:sz w:val="20"/>
          <w:szCs w:val="20"/>
          <w:u w:val="single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operanti in uno dei seguenti settori (lista non vincolante ed esclusiva): agroalimentare (vitivinicolo, oleario, dolciumi e prodotti da forno, caseario, lavorazione carni e salumi, ecc.); meccanica, componentistica e automazione industriale; sistema moda; arredo, design e sistema casa; componenti elettrici ed elettronici; gomma e plastica; sanità (farmaceutico, elettromedicali, DPI, ecc.); chimica e cosmetica; ICT e high tech; automotive e altri mezzi di trasporto; Costruzioni (edilizia, serramenti, vetro, ceramica, ecc.); ambiente ed energia, servizi. Eventuali proposte derivanti da imprese di ulteriori settori potranno essere valutate dalla CCIAA ai fini della candidatura</w:t>
      </w:r>
      <w:r>
        <w:rPr>
          <w:rFonts w:ascii="Open Sans" w:hAnsi="Open Sans" w:eastAsia="Open Sans" w:cs="Open Sans"/>
          <w:b/>
          <w:color w:val="366091"/>
          <w:sz w:val="20"/>
          <w:szCs w:val="20"/>
        </w:rPr>
        <w:t xml:space="preserve">. </w:t>
      </w:r>
      <w:r>
        <w:rPr>
          <w:rFonts w:ascii="Open Sans" w:hAnsi="Open Sans" w:eastAsia="Open Sans" w:cs="Open Sans"/>
          <w:b/>
          <w:color w:val="366091"/>
          <w:sz w:val="20"/>
          <w:szCs w:val="20"/>
          <w:u w:val="single"/>
        </w:rPr>
        <w:t>Sono in ogni caso esclusi i settori della consulenza gestionale ed il turismo</w:t>
      </w:r>
      <w:r>
        <w:rPr>
          <w:rFonts w:ascii="Open Sans" w:hAnsi="Open Sans" w:eastAsia="Open Sans" w:cs="Open Sans"/>
          <w:color w:val="366091"/>
          <w:sz w:val="20"/>
          <w:szCs w:val="20"/>
          <w:u w:val="single"/>
        </w:rPr>
        <w:t xml:space="preserve">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bookmarkStart w:id="2" w:name="_Hlk125361879"/>
    </w:p>
    <w:bookmarkEnd w:id="2"/>
    <w:p>
      <w:pPr>
        <w:tabs>
          <w:tab w:val="left" w:pos="851"/>
        </w:tabs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2. Per dimostrare di possedere il requisito “e)” e poter aderire così all’iniziativa, è necessario essere profilati sul sito </w:t>
      </w:r>
      <w:r>
        <w:fldChar w:fldCharType="begin"/>
      </w:r>
      <w:r>
        <w:instrText xml:space="preserve"> HYPERLINK "https://www.sostegnoexport.it" \h </w:instrText>
      </w:r>
      <w:r>
        <w:fldChar w:fldCharType="separate"/>
      </w:r>
      <w:r>
        <w:rPr>
          <w:rFonts w:ascii="Open Sans" w:hAnsi="Open Sans" w:eastAsia="Open Sans" w:cs="Open Sans"/>
          <w:color w:val="1155CC"/>
          <w:sz w:val="20"/>
          <w:szCs w:val="20"/>
          <w:u w:val="single"/>
        </w:rPr>
        <w:t>https://www.sostegnoexport.it</w:t>
      </w:r>
      <w:r>
        <w:rPr>
          <w:rFonts w:ascii="Open Sans" w:hAnsi="Open Sans" w:eastAsia="Open Sans" w:cs="Open Sans"/>
          <w:color w:val="1155CC"/>
          <w:sz w:val="20"/>
          <w:szCs w:val="20"/>
          <w:u w:val="single"/>
        </w:rPr>
        <w:fldChar w:fldCharType="end"/>
      </w:r>
      <w:r>
        <w:rPr>
          <w:rFonts w:ascii="Open Sans" w:hAnsi="Open Sans" w:eastAsia="Open Sans" w:cs="Open Sans"/>
          <w:color w:val="366091"/>
          <w:sz w:val="20"/>
          <w:szCs w:val="20"/>
        </w:rPr>
        <w:t>. Il completamento dell’attività di profilazione sarà considerata quale condizione vincolante per la valutazione dell’ammissibilità delle imprese candidate.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120" w:line="240" w:lineRule="auto"/>
        <w:jc w:val="both"/>
        <w:rPr>
          <w:rFonts w:ascii="Open Sans" w:hAnsi="Open Sans" w:eastAsia="Open Sans" w:cs="Open Sans"/>
          <w:b/>
          <w:color w:val="366091"/>
          <w:sz w:val="20"/>
          <w:szCs w:val="20"/>
        </w:rPr>
      </w:pPr>
      <w:r>
        <w:rPr>
          <w:rFonts w:ascii="Open Sans" w:hAnsi="Open Sans" w:eastAsia="Open Sans" w:cs="Open Sans"/>
          <w:b/>
          <w:color w:val="366091"/>
          <w:sz w:val="20"/>
          <w:szCs w:val="20"/>
        </w:rPr>
        <w:t>ART.3 ADESIONE</w:t>
      </w:r>
    </w:p>
    <w:p>
      <w:pPr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1. Le imprese che vogliano partecipare al presente programma dovranno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qualora non già fatto, </w:t>
      </w:r>
      <w:r>
        <w:rPr>
          <w:rFonts w:ascii="Open Sans" w:hAnsi="Open Sans" w:eastAsia="Open Sans" w:cs="Open Sans"/>
          <w:strike/>
          <w:color w:val="366091"/>
          <w:sz w:val="20"/>
          <w:szCs w:val="20"/>
          <w:highlight w:val="none"/>
        </w:rPr>
        <w:t xml:space="preserve"> </w:t>
      </w: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 xml:space="preserve">registarsi </w:t>
      </w: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sul sito </w:t>
      </w:r>
      <w:r>
        <w:fldChar w:fldCharType="begin"/>
      </w:r>
      <w:r>
        <w:instrText xml:space="preserve"> HYPERLINK "https://www.sostegnoexport.it" \h </w:instrText>
      </w:r>
      <w:r>
        <w:fldChar w:fldCharType="separate"/>
      </w:r>
      <w:r>
        <w:rPr>
          <w:rFonts w:ascii="Open Sans" w:hAnsi="Open Sans" w:eastAsia="Open Sans" w:cs="Open Sans"/>
          <w:color w:val="366091"/>
          <w:sz w:val="20"/>
          <w:szCs w:val="20"/>
        </w:rPr>
        <w:t>https://www.sostegnoexport.it</w:t>
      </w:r>
      <w:r>
        <w:rPr>
          <w:rFonts w:ascii="Open Sans" w:hAnsi="Open Sans" w:eastAsia="Open Sans" w:cs="Open Sans"/>
          <w:color w:val="366091"/>
          <w:sz w:val="20"/>
          <w:szCs w:val="20"/>
        </w:rPr>
        <w:fldChar w:fldCharType="end"/>
      </w: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 cliccando su “Sei un’impresa interessata all’estero?”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l’impresa riceverà automaticamente una mail con le istruzioni per generare le proprie credenziali per accedere all’area riservata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accedere a “Area Riservata Imprese” in home page sul sito </w:t>
      </w:r>
      <w:r>
        <w:fldChar w:fldCharType="begin"/>
      </w:r>
      <w:r>
        <w:instrText xml:space="preserve"> HYPERLINK "https://www.sostegnoexport.it" \h </w:instrText>
      </w:r>
      <w:r>
        <w:fldChar w:fldCharType="separate"/>
      </w:r>
      <w:r>
        <w:rPr>
          <w:rFonts w:ascii="Open Sans" w:hAnsi="Open Sans" w:eastAsia="Open Sans" w:cs="Open Sans"/>
          <w:color w:val="1155CC"/>
          <w:sz w:val="20"/>
          <w:szCs w:val="20"/>
          <w:u w:val="single"/>
        </w:rPr>
        <w:t>https://www.sostegnoexport.it</w:t>
      </w:r>
      <w:r>
        <w:rPr>
          <w:rFonts w:ascii="Open Sans" w:hAnsi="Open Sans" w:eastAsia="Open Sans" w:cs="Open Sans"/>
          <w:color w:val="1155CC"/>
          <w:sz w:val="20"/>
          <w:szCs w:val="20"/>
          <w:u w:val="single"/>
        </w:rPr>
        <w:fldChar w:fldCharType="end"/>
      </w: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 inserendo la propria mail (username) e la password generata dall’azienda (v. punto precedente)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compilare il form nella sezione dell’area riservata “Registrazione a Stay Export” indicando i mercati di interesse, esprimendo al massimo n. 12 preferenze (ordinate per priorità) suddivise per area geografica (n. 6 CCIE per Europa, n. 3 per Nord e Sud America, n. 2 per Asia e Australia, n. 1 per Medio Oriente e Africa). 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Cliccare su invia. Si riceverà una mail con le preferenze indicate.</w:t>
      </w:r>
    </w:p>
    <w:p>
      <w:pPr>
        <w:spacing w:after="0" w:line="240" w:lineRule="auto"/>
        <w:ind w:left="720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  <w:highlight w:val="none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Il processo di matching</w:t>
      </w:r>
      <w:r>
        <w:rPr>
          <w:rFonts w:ascii="Open Sans" w:hAnsi="Open Sans" w:eastAsia="Open Sans" w:cs="Open Sans"/>
          <w:color w:val="4F81BD" w:themeColor="accent1"/>
          <w:sz w:val="20"/>
          <w:szCs w:val="20"/>
          <w:highlight w:val="none"/>
          <w14:textFill>
            <w14:solidFill>
              <w14:schemeClr w14:val="accent1"/>
            </w14:solidFill>
          </w14:textFill>
        </w:rPr>
        <w:t xml:space="preserve"> sarà realizzato da Unioncamere e </w:t>
      </w: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>avverrà sulla base dell’ordine cronologico di arrivo delle candidature, delle priorità espresse da ciascuna impresa e del numero di posti disponibili presso ciascuna CCIE.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  <w:highlight w:val="none"/>
        </w:rPr>
      </w:pPr>
    </w:p>
    <w:p>
      <w:pPr>
        <w:jc w:val="both"/>
        <w:rPr>
          <w:rFonts w:ascii="Open Sans" w:hAnsi="Open Sans" w:eastAsia="Open Sans" w:cs="Open Sans"/>
          <w:color w:val="366091"/>
          <w:sz w:val="20"/>
          <w:szCs w:val="20"/>
          <w:highlight w:val="none"/>
        </w:rPr>
      </w:pP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>2. Le adesioni saranno ritenute valide solo nel caso delle candidature pervenute- all’interno dell’apposita Sezione “Registrazione a Stay Export”, come indicato all’art. 3.1,- dopo la pubblicazione del</w:t>
      </w:r>
      <w:r>
        <w:rPr>
          <w:rFonts w:hint="default" w:ascii="Open Sans" w:hAnsi="Open Sans" w:eastAsia="Open Sans" w:cs="Open Sans"/>
          <w:color w:val="366091"/>
          <w:sz w:val="20"/>
          <w:szCs w:val="20"/>
          <w:highlight w:val="none"/>
          <w:lang w:val="it-IT"/>
        </w:rPr>
        <w:t>l’avviso</w:t>
      </w: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 xml:space="preserve">, ovvero a partire dal </w:t>
      </w:r>
      <w:r>
        <w:rPr>
          <w:rFonts w:hint="default" w:ascii="Open Sans" w:hAnsi="Open Sans" w:eastAsia="Open Sans" w:cs="Open Sans"/>
          <w:color w:val="366091"/>
          <w:sz w:val="20"/>
          <w:szCs w:val="20"/>
          <w:highlight w:val="none"/>
          <w:lang w:val="it-IT"/>
        </w:rPr>
        <w:t xml:space="preserve"> </w:t>
      </w:r>
      <w:r>
        <w:rPr>
          <w:rFonts w:hint="default" w:ascii="Open Sans" w:hAnsi="Open Sans" w:eastAsia="Open Sans" w:cs="Open Sans"/>
          <w:b/>
          <w:bCs/>
          <w:color w:val="366091"/>
          <w:sz w:val="20"/>
          <w:szCs w:val="20"/>
          <w:highlight w:val="none"/>
          <w:lang w:val="it-IT"/>
        </w:rPr>
        <w:t xml:space="preserve">16 </w:t>
      </w:r>
      <w:r>
        <w:rPr>
          <w:rFonts w:ascii="Open Sans" w:hAnsi="Open Sans" w:eastAsia="Open Sans" w:cs="Open Sans"/>
          <w:b/>
          <w:bCs/>
          <w:color w:val="366091"/>
          <w:sz w:val="20"/>
          <w:szCs w:val="20"/>
          <w:highlight w:val="none"/>
        </w:rPr>
        <w:t xml:space="preserve"> febbraio  e sino al 15 marzo 2023</w:t>
      </w: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 xml:space="preserve"> . </w:t>
      </w:r>
    </w:p>
    <w:p>
      <w:pPr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 xml:space="preserve">3. La Camera di Commercio della Basilicata, con la sua </w:t>
      </w:r>
      <w:r>
        <w:rPr>
          <w:rFonts w:ascii="Open Sans" w:hAnsi="Open Sans" w:eastAsia="Open Sans" w:cs="Open Sans"/>
          <w:b/>
          <w:color w:val="366091"/>
          <w:sz w:val="20"/>
          <w:szCs w:val="20"/>
          <w:highlight w:val="none"/>
        </w:rPr>
        <w:t>Azienda Speciale ASSET</w:t>
      </w: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 xml:space="preserve"> si riserva l</w:t>
      </w:r>
      <w:r>
        <w:rPr>
          <w:rFonts w:ascii="Open Sans" w:hAnsi="Open Sans" w:eastAsia="Open Sans" w:cs="Open Sans"/>
          <w:color w:val="366091"/>
          <w:sz w:val="20"/>
          <w:szCs w:val="20"/>
        </w:rPr>
        <w:t>a facoltà di richiedere all’impresa eventuali integrazioni della domanda.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120" w:line="240" w:lineRule="auto"/>
        <w:jc w:val="both"/>
        <w:rPr>
          <w:rFonts w:ascii="Open Sans" w:hAnsi="Open Sans" w:eastAsia="Open Sans" w:cs="Open Sans"/>
          <w:b/>
          <w:color w:val="366091"/>
          <w:sz w:val="20"/>
          <w:szCs w:val="20"/>
        </w:rPr>
      </w:pPr>
      <w:r>
        <w:rPr>
          <w:rFonts w:ascii="Open Sans" w:hAnsi="Open Sans" w:eastAsia="Open Sans" w:cs="Open Sans"/>
          <w:b/>
          <w:color w:val="366091"/>
          <w:sz w:val="20"/>
          <w:szCs w:val="20"/>
        </w:rPr>
        <w:t>ART. 4 – ATTIVITA’ PREVISTE E MODALITÀ DI PARTECIPAZIONE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1. L’attività progettuale consisterà nella partecipazione ad un percorso di orientamento al mercato (web-mentoring) della durata di 90 minuti, tenuto dalla CCIE con personale interno o tramite ricorso a consulenti esterni, del valore di € 1.100, interamente a carico del progetto, che includerà informazioni su: approccio culturale al paese di riferimento; livello di barriere d’ingresso; macro-tendenze del settore; aspetti operativi legati all’export; strategie commerciali; opportunità d’ investimento. 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2. Le imprese ammesse al web-mentoring con le CCIE riceveranno apposita comunicazione da parte del responsabile del procedimento. 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3. Le imprese selezionate dovranno avvertire dell’eventuale impossibilità (per gravi e non prevedibili motivi) a partecipare alle iniziative programmate per le quali avranno ricevuto relativa comunicazione di ammissione, entro i n. 15 giorni antecedenti la data prevista delle stesse.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La </w:t>
      </w:r>
      <w:r>
        <w:rPr>
          <w:rFonts w:ascii="Open Sans" w:hAnsi="Open Sans" w:eastAsia="Open Sans" w:cs="Open Sans"/>
          <w:b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Camera di Commercio della Basilicata</w:t>
      </w:r>
      <w:r>
        <w:rPr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con la sua </w:t>
      </w:r>
      <w:r>
        <w:rPr>
          <w:rFonts w:ascii="Open Sans" w:hAnsi="Open Sans" w:eastAsia="Open Sans" w:cs="Open Sans"/>
          <w:b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Azienda Speciale ASSET</w:t>
      </w:r>
      <w:r>
        <w:rPr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raccomanda inoltre di accedere ai seguenti servizi offerti gratuitamente dal </w:t>
      </w:r>
      <w:r>
        <w:rPr>
          <w:rFonts w:ascii="Open Sans" w:hAnsi="Open Sans" w:eastAsia="Open Sans" w:cs="Open Sans"/>
          <w:b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PID</w:t>
      </w:r>
      <w:r>
        <w:rPr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(Punto Impresa Digitale):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558ED5" w:themeColor="text2" w:themeTint="99"/>
          <w:sz w:val="24"/>
          <w:szCs w:val="24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pStyle w:val="26"/>
        <w:numPr>
          <w:ilvl w:val="0"/>
          <w:numId w:val="4"/>
        </w:numPr>
        <w:spacing w:after="0" w:line="240" w:lineRule="auto"/>
        <w:jc w:val="both"/>
        <w:rPr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il servizio di </w:t>
      </w:r>
      <w:r>
        <w:rPr>
          <w:rFonts w:ascii="Open Sans" w:hAnsi="Open Sans" w:eastAsia="Open Sans" w:cs="Open Sans"/>
          <w:b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assessment della Sicurezza informatica,</w:t>
      </w:r>
      <w:r>
        <w:rPr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uno strumento per aiutare l'impresa a comprendere i rischi informatici ai quali è esposta (attacchi cyber, truffe telematiche, furto di identità e molto altro)</w:t>
      </w:r>
    </w:p>
    <w:p>
      <w:pPr>
        <w:pStyle w:val="26"/>
        <w:spacing w:after="0" w:line="240" w:lineRule="auto"/>
        <w:jc w:val="both"/>
        <w:rPr>
          <w:rStyle w:val="16"/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558ED5" w:themeColor="text2" w:themeTint="99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begin"/>
      </w:r>
      <w:r>
        <w:rPr>
          <w:color w:val="558ED5" w:themeColor="text2" w:themeTint="99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instrText xml:space="preserve"> HYPERLINK "https://www.assetbasilicata.it/asset/page/1/609/1/2023/CheckUP_Sicurezza_IT" </w:instrText>
      </w:r>
      <w:r>
        <w:rPr>
          <w:color w:val="558ED5" w:themeColor="text2" w:themeTint="99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separate"/>
      </w:r>
      <w:r>
        <w:rPr>
          <w:rStyle w:val="16"/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https://www.assetbasilicata.it/asset/page/1/609/1/2023/CheckUP_Sicurezza_IT</w:t>
      </w:r>
      <w:r>
        <w:rPr>
          <w:rStyle w:val="16"/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end"/>
      </w:r>
      <w:r>
        <w:rPr>
          <w:rStyle w:val="16"/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</w:t>
      </w:r>
    </w:p>
    <w:p>
      <w:pPr>
        <w:pStyle w:val="26"/>
        <w:spacing w:after="0" w:line="240" w:lineRule="auto"/>
        <w:jc w:val="both"/>
        <w:rPr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pStyle w:val="26"/>
        <w:numPr>
          <w:ilvl w:val="0"/>
          <w:numId w:val="4"/>
        </w:numPr>
        <w:spacing w:after="0" w:line="240" w:lineRule="auto"/>
        <w:jc w:val="both"/>
        <w:rPr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il servizio di </w:t>
      </w:r>
      <w:r>
        <w:rPr>
          <w:rFonts w:ascii="Open Sans" w:hAnsi="Open Sans" w:eastAsia="Open Sans" w:cs="Open Sans"/>
          <w:b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assessment Selfi4.0</w:t>
      </w:r>
      <w:r>
        <w:rPr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, uno strumento di autovalutazione per aiutare l'impresa a misurare la propria maturità digitale:</w:t>
      </w:r>
    </w:p>
    <w:p>
      <w:pPr>
        <w:pStyle w:val="26"/>
        <w:spacing w:after="0" w:line="240" w:lineRule="auto"/>
        <w:jc w:val="both"/>
        <w:rPr>
          <w:rFonts w:ascii="Open Sans" w:hAnsi="Open Sans" w:eastAsia="Open Sans" w:cs="Open Sans"/>
          <w:color w:val="558ED5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558ED5" w:themeColor="text2" w:themeTint="99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begin"/>
      </w:r>
      <w:r>
        <w:rPr>
          <w:color w:val="558ED5" w:themeColor="text2" w:themeTint="99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instrText xml:space="preserve"> HYPERLINK "https://www.puntoimpresadigitale.camcom.it/selfdigitalassessment/index.php/358529?lang=it" </w:instrText>
      </w:r>
      <w:r>
        <w:rPr>
          <w:color w:val="558ED5" w:themeColor="text2" w:themeTint="99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separate"/>
      </w:r>
      <w:r>
        <w:rPr>
          <w:rStyle w:val="16"/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https://www.puntoimpresadigitale.camcom.it/selfdigitalassessment/index.php/358529?lang=it</w:t>
      </w:r>
      <w:r>
        <w:rPr>
          <w:rStyle w:val="16"/>
          <w:rFonts w:ascii="Open Sans" w:hAnsi="Open Sans" w:eastAsia="Open Sans" w:cs="Open Sans"/>
          <w:color w:val="558ED5" w:themeColor="text2" w:themeTint="99"/>
          <w:sz w:val="20"/>
          <w:szCs w:val="20"/>
          <w:highlight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end"/>
      </w:r>
      <w:r>
        <w:rPr>
          <w:rFonts w:ascii="Open Sans" w:hAnsi="Open Sans" w:eastAsia="Open Sans" w:cs="Open Sans"/>
          <w:color w:val="558ED5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 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0000FF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120" w:line="240" w:lineRule="auto"/>
        <w:jc w:val="both"/>
        <w:rPr>
          <w:rFonts w:ascii="Open Sans" w:hAnsi="Open Sans" w:eastAsia="Open Sans" w:cs="Open Sans"/>
          <w:b/>
          <w:color w:val="366091"/>
          <w:sz w:val="20"/>
          <w:szCs w:val="20"/>
        </w:rPr>
      </w:pPr>
      <w:r>
        <w:rPr>
          <w:rFonts w:ascii="Open Sans" w:hAnsi="Open Sans" w:eastAsia="Open Sans" w:cs="Open Sans"/>
          <w:b/>
          <w:color w:val="366091"/>
          <w:sz w:val="20"/>
          <w:szCs w:val="20"/>
        </w:rPr>
        <w:t>ART. 5 - REGIME COMUNITARIO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1. Gli aiuti relativi alla definizione del pacchetto di servizio composto da web-mentoring sono concessi, in regime “</w:t>
      </w:r>
      <w:r>
        <w:rPr>
          <w:rFonts w:ascii="Open Sans" w:hAnsi="Open Sans" w:eastAsia="Open Sans" w:cs="Open Sans"/>
          <w:i/>
          <w:color w:val="366091"/>
          <w:sz w:val="20"/>
          <w:szCs w:val="20"/>
        </w:rPr>
        <w:t>de minimis</w:t>
      </w:r>
      <w:r>
        <w:rPr>
          <w:rFonts w:ascii="Open Sans" w:hAnsi="Open Sans" w:eastAsia="Open Sans" w:cs="Open Sans"/>
          <w:color w:val="366091"/>
          <w:sz w:val="20"/>
          <w:szCs w:val="20"/>
        </w:rPr>
        <w:t>”, ai sensi dei Regolamenti n. 1407/2013 e n. 717/2014 del 27 giugno 2014 (GUUE L 190 del 28.6.2014).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2. In base a tali Regolamenti, l’importo complessivo degli aiuti “de minimis” accordati ad un’impresa “unica”</w:t>
      </w:r>
      <w:r>
        <w:rPr>
          <w:rFonts w:ascii="Open Sans" w:hAnsi="Open Sans" w:eastAsia="Open Sans" w:cs="Open Sans"/>
          <w:color w:val="366091"/>
          <w:sz w:val="20"/>
          <w:szCs w:val="20"/>
          <w:vertAlign w:val="superscript"/>
        </w:rPr>
        <w:footnoteReference w:id="0"/>
      </w: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 </w:t>
      </w:r>
      <w:r>
        <w:rPr>
          <w:rFonts w:ascii="Open Sans" w:hAnsi="Open Sans" w:eastAsia="Open Sans" w:cs="Open Sans"/>
          <w:color w:val="366091"/>
          <w:sz w:val="13"/>
          <w:szCs w:val="13"/>
        </w:rPr>
        <w:t xml:space="preserve"> </w:t>
      </w:r>
      <w:r>
        <w:rPr>
          <w:rFonts w:ascii="Open Sans" w:hAnsi="Open Sans" w:eastAsia="Open Sans" w:cs="Open Sans"/>
          <w:color w:val="366091"/>
          <w:sz w:val="20"/>
          <w:szCs w:val="20"/>
        </w:rPr>
        <w:t>nell’arco di tre esercizi finanziari non può superare i massimali di 200.000 euro (100.00 per il settore del trasporto merci su strada per conto terzi) oppure di 30.000 euro per gli aiuti “de minimis” nel settore della pesca e dell’acquacoltura.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3. Per quanto non disciplinato o definito espressamente dal presente bando si fa rinvio ai suddetti Regolamenti; in ogni caso, nulla di quanto previsto nel presente Bando può essere interpretato in maniera difforme rispetto a quanto stabilito dalle norme pertinenti di tali Regolamenti.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120" w:line="240" w:lineRule="auto"/>
        <w:jc w:val="both"/>
        <w:rPr>
          <w:rFonts w:ascii="Open Sans" w:hAnsi="Open Sans" w:eastAsia="Open Sans" w:cs="Open Sans"/>
          <w:b/>
          <w:color w:val="366091"/>
          <w:sz w:val="20"/>
          <w:szCs w:val="20"/>
        </w:rPr>
      </w:pPr>
      <w:r>
        <w:rPr>
          <w:rFonts w:ascii="Open Sans" w:hAnsi="Open Sans" w:eastAsia="Open Sans" w:cs="Open Sans"/>
          <w:b/>
          <w:color w:val="366091"/>
          <w:sz w:val="20"/>
          <w:szCs w:val="20"/>
        </w:rPr>
        <w:t>ART. 6 – DISPOSIZIONI FINALI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1. Ai sensi della L. 241/90 “Nuove norme in materia di procedimento amministrativo e di diritto di accesso ai documenti amministrativi” e ss.mm.ii.  il procedimento amministrativo riferito alla presente manifestazione di interesse è assegnato a</w:t>
      </w: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>l Dirigente area 3. L</w:t>
      </w:r>
      <w:r>
        <w:rPr>
          <w:rFonts w:ascii="Open Sans" w:hAnsi="Open Sans" w:eastAsia="Open Sans" w:cs="Open Sans"/>
          <w:color w:val="366091"/>
          <w:sz w:val="20"/>
          <w:szCs w:val="20"/>
        </w:rPr>
        <w:t>’inizio del procedimento coincide con la data di protocollazione della domanda.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2. I dati acquisiti in esecuzione della presente manifestazione di interesse e dalla scheda di adesione saranno utilizzati esclusivamente per gli scopi previsti dalla manifestazione di interesse e saranno oggetto di trattamento svolto con o senza l’ausilio di sistemi informatici, nel pieno rispetto delle leggi e dei regolamenti vigenti, ai sensi del D.Lgs.196/2003 e del Regolamento UE 679/2016.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pStyle w:val="17"/>
        <w:shd w:val="clear" w:color="auto" w:fill="FFFFFF"/>
        <w:spacing w:before="0" w:beforeAutospacing="0" w:after="188" w:afterAutospacing="0"/>
        <w:rPr>
          <w:rFonts w:ascii="Open Sans" w:hAnsi="Open Sans" w:eastAsia="Open Sans" w:cs="Open Sans"/>
          <w:color w:val="366091"/>
          <w:sz w:val="20"/>
          <w:szCs w:val="20"/>
          <w:highlight w:val="none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3. Il titolare dei dati forniti è la Camera di Commercio, Industria, Artigianato e Agricoltura della</w:t>
      </w: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 xml:space="preserve"> Basilicata con sede Sede legale: Corso XVIII Agosto, 34 - 85100 Potenza e Sede Secondaria: Via Lucana, 82 - 75100 Matera.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  <w:highlight w:val="none"/>
        </w:rPr>
      </w:pP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>4. La presente manifestazione di interesse verrà pubblicata all’Albo camerale on line e diffusa tramite sito web della Camera di Commercio della Basilicata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120" w:line="240" w:lineRule="auto"/>
        <w:jc w:val="both"/>
        <w:rPr>
          <w:rFonts w:ascii="Open Sans" w:hAnsi="Open Sans" w:eastAsia="Open Sans" w:cs="Open Sans"/>
          <w:b/>
          <w:color w:val="366091"/>
          <w:sz w:val="20"/>
          <w:szCs w:val="20"/>
        </w:rPr>
      </w:pPr>
      <w:r>
        <w:rPr>
          <w:rFonts w:ascii="Open Sans" w:hAnsi="Open Sans" w:eastAsia="Open Sans" w:cs="Open Sans"/>
          <w:b/>
          <w:color w:val="366091"/>
          <w:sz w:val="20"/>
          <w:szCs w:val="20"/>
        </w:rPr>
        <w:t>Art 7. INFORMATIVA IN MATERIA DI TRATTAMENTO DATI PERSONALI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Con la presente informativa la Camera di Commercio, Industria, Artigianato e Agricoltura della Basilicata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intende informare gli interessati sulle modalità del trattamento dei dati personali acquisiti ai fini della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presentazione e gestione della richiesta di adesione al progetto Stay Export e fornire tutte le informazioni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previste dall’art. 13 del Regolamento (UE) 2016/679 (GDPR o Regolamento Generale per la Protezione dei Dati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personali).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1. Titolare del trattamento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Titolare del trattamento dei dati personali è la Camera di Commercio, Industria, Artigianato e Agricoltura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della Basilicata, avente sede legale in Corso XVIII Agosto 34 – 85100 Potenza, tel. 0971/412111 e sede</w:t>
      </w:r>
      <w:r>
        <w:t xml:space="preserve"> </w:t>
      </w:r>
      <w:r>
        <w:rPr>
          <w:rFonts w:ascii="Open Sans" w:hAnsi="Open Sans" w:eastAsia="Open Sans" w:cs="Open Sans"/>
          <w:color w:val="366091"/>
          <w:sz w:val="20"/>
          <w:szCs w:val="20"/>
        </w:rPr>
        <w:t>secondaria in Matera alla via Lucana, 82 tel. 0835/338411, PEC: cameradicommercio@pec.basilicata.camcom.it, sito internet www.basilicata.camcom.it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2. DPO-Data protection Officer/RPD Responsabile della Protezione dei Dati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Al fine di tutelare al meglio i diritti degli interessati di cui la Camera di Commercio della Basilicata tratta i dati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personali, nonché in ossequio al dettato normativo (art.37 del GDPR), il Titolare ha nominato un proprio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DPO, Data Protection Officer (nella traduzione italiana RPD, Responsabile della protezione dei dati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personali). I dati di contatto del DPO/RPD della Camera di Commercio della Basilicata sono i seguenti -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indirizzo di posta elettronica certificata: </w:t>
      </w:r>
      <w:r>
        <w:fldChar w:fldCharType="begin"/>
      </w:r>
      <w:r>
        <w:instrText xml:space="preserve"> HYPERLINK "mailto:dpo@pec.basilicata.camcom.it" </w:instrText>
      </w:r>
      <w:r>
        <w:fldChar w:fldCharType="separate"/>
      </w:r>
      <w:r>
        <w:rPr>
          <w:rStyle w:val="16"/>
          <w:rFonts w:ascii="Open Sans" w:hAnsi="Open Sans" w:eastAsia="Open Sans" w:cs="Open Sans"/>
          <w:sz w:val="20"/>
          <w:szCs w:val="20"/>
        </w:rPr>
        <w:t>dpo@pec.basilicata.camcom.it</w:t>
      </w:r>
      <w:r>
        <w:rPr>
          <w:rStyle w:val="16"/>
          <w:rFonts w:ascii="Open Sans" w:hAnsi="Open Sans" w:eastAsia="Open Sans" w:cs="Open Sans"/>
          <w:sz w:val="20"/>
          <w:szCs w:val="20"/>
        </w:rPr>
        <w:fldChar w:fldCharType="end"/>
      </w: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 - indirizzo di posta elettronica ordinaria: </w:t>
      </w:r>
      <w:r>
        <w:fldChar w:fldCharType="begin"/>
      </w:r>
      <w:r>
        <w:instrText xml:space="preserve"> HYPERLINK "mailto:dpo@basilicata.camcom.it" </w:instrText>
      </w:r>
      <w:r>
        <w:fldChar w:fldCharType="separate"/>
      </w:r>
      <w:r>
        <w:rPr>
          <w:rStyle w:val="16"/>
          <w:rFonts w:ascii="Open Sans" w:hAnsi="Open Sans" w:eastAsia="Open Sans" w:cs="Open Sans"/>
          <w:sz w:val="20"/>
          <w:szCs w:val="20"/>
        </w:rPr>
        <w:t>dpo@basilicata.camcom.it</w:t>
      </w:r>
      <w:r>
        <w:rPr>
          <w:rStyle w:val="16"/>
          <w:rFonts w:ascii="Open Sans" w:hAnsi="Open Sans" w:eastAsia="Open Sans" w:cs="Open Sans"/>
          <w:sz w:val="20"/>
          <w:szCs w:val="20"/>
        </w:rPr>
        <w:fldChar w:fldCharType="end"/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3. Finalità del trattamento e base giuridica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 dati personali conferiti attraverso la compilazione della scheda di adesione saranno trattati dal Titolare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esclusivamente sulla base dei presupposti giuridici e delle finalità di seguito indicati: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a) consentire la partecipazione al progetto Stay Export e, dunque, per l’erogazione dei servizi previsti quali la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partecipazione ad una serie di webinar e ad una eventuale assistenza specialistica; tale trattamento si fonda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sulla base giuridica dell’esecuzione di compiti di interesse pubblico ex art. 6, par. 1, lett. e) del GDPR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assegnati al Titolare, chiamato a svolgere funzioni di interesse generale per il sistema delle imprese ai sensi,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nello specifico, della Legge 580/1993 e del DM 7 marzo 2019;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b) adempiere l’obbligo legale della disciplina prevista per gli aiuti “de minimis” di cui all’art. 5 dell’avviso alla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quale è soggetto il Titolare ex art. 6, par. 1, lett. c) del GDPR che comprende le fasi di istruttoria amministrativa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e di merito delle domande, comprese le verifiche sulle dichiarazioni rese e le attività relative al rispetto degli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obblighi in materia di trasparenza amministrativa.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Con la sottoscrizione della scheda di adesione, il beneficiario garantisce di aver reso disponibile la presente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informativa a tutte le persone fisiche (appartenenti alla propria organizzazione ovvero esterni ad essa) i cui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dati eventualmente saranno forniti alla Camera di commercio per le finalità precedentemente indicate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(webinar, web-mentoring, assistenza specialistica).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4. Natura del conferimento dei dati e conseguenze dell’eventuale mancato conferimento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Il conferimento dei dati personali da parte del partecipante per le finalità di cui al punto 3. lettere a) e b)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costituisce presupposto indispensabile per lo svolgimento delle attività previste dall’Avviso relativo al progetto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Stay Export, con particolare riferimento alla presentazione della scheda di adesione ed alla corretta gestione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amministrativa e della corrispondenza, nonché per finalità strettamente connesse agli adempimenti degli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obblighi di legge. Il loro mancato conferimento comporta l’impossibilità di partecipare alla procedura per la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concessione del contributo richiesto.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5. Soggetti ai quali i dati possono essere comunicati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 dati acquisiti saranno trattati per il perseguimento delle finalità di cui al punto 3) da soggetti autorizzati dalla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Camera di commercio della Basilicata appositamente incaricati e nominati 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ai sensi dell’art. 28 del GDPR e, in particolare, da ASSET azienda speciale della Camera di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commercio della Basilicata che, a sua volta, potrà nominare dei sub-responsabili per attività specifiche di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trattamento, nel rispetto degli stessi obblighi contrattuali previsti verso il Titolare.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 dati saranno altresì trattati da Unioncamere, la quale opererà in quanto Titolare autonomo del trattamento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per la gestione della piattaforma www.sostegnoexport.it e per le attività di coordinamento del progetto in merito alle quali renderà disponibile un’apposita informativa.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 dati saranno trattati altresì dalle Camere di Commercio Italiane all’Estero (CCIE) che potranno essere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coinvolte nei servizi one-to-one di orientamento e accompagnamento nei processi di sviluppo internazionale.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 dati relativi ai beneficiari non saranno comunicati a terzi se non nei casi previsti dalla legge (ad es. Enti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Pubblici, Autorità Giudiziaria, Registro Nazionale degli Aiuti di Stato).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 dati, infine, potranno essere trattati da altri soggetti, anche appartenenti al sistema camerale, e appartenenti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alle seguenti categorie: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● altre strutture del sistema camerale nazionale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● società che erogano servizi tecnico-informatici e di comunicazione telematica, in particolar modo di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posta elettronica;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● società che svolgono servizi di gestione e manutenzione dei database del Titolare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6. Modalità di trattamento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Il trattamento dei dati personali verrà effettuato mediante acquisizione dei documenti in forma elettronica e/o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cartacea, con modalità informatiche e manuali che garantiscono la riservatezza e la sicurezza degli stessi. A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tale scopo il trattamento dei dati è svolto attuando misure tecniche ed organizzative di sicurezza a presidio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dei rischi di perdita, di usi illeciti o non corretti e di eventuali accessi non autorizzati. Nessuna decisione che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possa produrre effetti giuridici nei confronti dell’interessato sarà basata sul trattamento automatizzato dei dati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Si fa presente che il Titolare potrebbe verificare la veridicità delle informazioni rese dall’impresa partecipante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mediante acquisizione di dati presso altre pubbliche amministrazioni.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7. Trasferimento di dati verso paesi terzi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 dati personali - a parte quanto indicato nel prosieguo - non vengono trasferiti a paesi terzi al di fuori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dell’Unione Europea o ad organizzazioni internazionali.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La Camera di Commercio può avvalersi, anche per il tramite dei propri Responsabili del trattamento, di società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di servizi IT e di comunicazioni telematiche, che potrebbero collocare o far transitare i dati anche in Paesi non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appartenenti all’Unione Europea.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Tale trasferimento all’estero dei dati è attuato solo verso Paesi (o settori di questi) che sono stati oggetto di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una decisione di adeguatezza e che, dunque, garantiscono un livello adeguato di protezione dei dati personali,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oppure sulla base di clausole contrattuali tipo validate da un’Autorità di controllo europea e conformi ai modelli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proposti dalla Commissione con Decisione 2010/87/UE.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8. Periodo di conservazione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 dati acquisiti ai fini della partecipazione all’avviso Stay Export saranno conservati per un periodo massimo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di cinque anni e successivamente saranno avviati a distruzione nel rispetto della normativa vigente, salvo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contenziosi in corso. Sono fatti salvi gli ulteriori obblighi di conservazione documentale previsti dalla legge.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9. Diritti degli interessati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Agli interessati è garantito l'esercizio dei diritti riconosciuti dagli artt. 15 ess. del GDPR. In particolare è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garantito, secondo le modalità e nei limiti previsti dalla vigente normativa, l’esercizio dei seguenti diritti, purché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ne ricorrano i presupposti di volta in volta previsti dalla normativa: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• il diritto di conoscere se la Camera di Commercio della Basilicata ha in corso trattamenti di dati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personali che la riguardano e, in tal caso, di avere accesso ai dati oggetto del trattamento e a tutte le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informazioni a questo relative;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• il diritto alla rettifica dei dati personali inesatti che la riguardano e/o all’integrazione di quelli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incompleti; il diritto alla cancellazione dei dati personali che la riguardano;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• il diritto alla limitazione del trattamento;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• il diritto di opporsi al trattamento;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• il diritto alla portabilità dei dati personali che la riguardano;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• il diritto di revocare il consenso in qualsiasi momento, senza che ciò pregiudichi la liceità del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trattamento, basato sul consenso, effettuato prima della revoca.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In ogni caso, ricorrendone i presupposti, vi è il diritto di presentare un formale Reclamo all’Autorità garante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  <w:r>
        <w:rPr>
          <w:rFonts w:ascii="Open Sans" w:hAnsi="Open Sans" w:eastAsia="Open Sans" w:cs="Open Sans"/>
          <w:color w:val="366091"/>
          <w:sz w:val="20"/>
          <w:szCs w:val="20"/>
        </w:rPr>
        <w:t>per la protezione dei dati personali, secondo le modalità reperibili sul sito www.garanteprivacy.it</w:t>
      </w: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spacing w:after="0" w:line="240" w:lineRule="auto"/>
        <w:jc w:val="both"/>
        <w:rPr>
          <w:rFonts w:ascii="Open Sans" w:hAnsi="Open Sans" w:eastAsia="Open Sans" w:cs="Open Sans"/>
          <w:color w:val="366091"/>
          <w:sz w:val="20"/>
          <w:szCs w:val="20"/>
        </w:rPr>
      </w:pPr>
    </w:p>
    <w:p>
      <w:pPr>
        <w:jc w:val="both"/>
        <w:rPr>
          <w:rFonts w:hint="default" w:ascii="Open Sans" w:hAnsi="Open Sans" w:eastAsia="Open Sans" w:cs="Open Sans"/>
          <w:color w:val="366091"/>
          <w:sz w:val="20"/>
          <w:szCs w:val="20"/>
          <w:lang w:val="it-IT"/>
        </w:rPr>
      </w:pPr>
      <w:r>
        <w:rPr>
          <w:rFonts w:ascii="Open Sans" w:hAnsi="Open Sans" w:eastAsia="Open Sans" w:cs="Open Sans"/>
          <w:color w:val="366091"/>
          <w:sz w:val="20"/>
          <w:szCs w:val="20"/>
          <w:highlight w:val="none"/>
        </w:rPr>
        <w:t>Potenza,</w:t>
      </w:r>
      <w:r>
        <w:rPr>
          <w:rFonts w:hint="default" w:ascii="Open Sans" w:hAnsi="Open Sans" w:eastAsia="Open Sans" w:cs="Open Sans"/>
          <w:color w:val="366091"/>
          <w:sz w:val="20"/>
          <w:szCs w:val="20"/>
          <w:highlight w:val="none"/>
          <w:lang w:val="it-IT"/>
        </w:rPr>
        <w:t>16/02/2023</w:t>
      </w:r>
      <w:r>
        <w:rPr>
          <w:rFonts w:ascii="Open Sans" w:hAnsi="Open Sans" w:eastAsia="Open Sans" w:cs="Open Sans"/>
          <w:color w:val="366091"/>
          <w:sz w:val="20"/>
          <w:szCs w:val="20"/>
        </w:rPr>
        <w:tab/>
      </w:r>
      <w:r>
        <w:rPr>
          <w:rFonts w:ascii="Open Sans" w:hAnsi="Open Sans" w:eastAsia="Open Sans" w:cs="Open Sans"/>
          <w:color w:val="366091"/>
          <w:sz w:val="20"/>
          <w:szCs w:val="20"/>
        </w:rPr>
        <w:tab/>
      </w:r>
      <w:r>
        <w:rPr>
          <w:rFonts w:ascii="Open Sans" w:hAnsi="Open Sans" w:eastAsia="Open Sans" w:cs="Open Sans"/>
          <w:color w:val="366091"/>
          <w:sz w:val="20"/>
          <w:szCs w:val="20"/>
        </w:rPr>
        <w:tab/>
      </w:r>
      <w:r>
        <w:rPr>
          <w:rFonts w:ascii="Open Sans" w:hAnsi="Open Sans" w:eastAsia="Open Sans" w:cs="Open Sans"/>
          <w:color w:val="366091"/>
          <w:sz w:val="20"/>
          <w:szCs w:val="20"/>
        </w:rPr>
        <w:tab/>
      </w:r>
      <w:r>
        <w:rPr>
          <w:rFonts w:ascii="Open Sans" w:hAnsi="Open Sans" w:eastAsia="Open Sans" w:cs="Open Sans"/>
          <w:color w:val="366091"/>
          <w:sz w:val="20"/>
          <w:szCs w:val="20"/>
        </w:rPr>
        <w:tab/>
      </w:r>
      <w:r>
        <w:rPr>
          <w:rFonts w:ascii="Open Sans" w:hAnsi="Open Sans" w:eastAsia="Open Sans" w:cs="Open Sans"/>
          <w:color w:val="366091"/>
          <w:sz w:val="20"/>
          <w:szCs w:val="20"/>
        </w:rPr>
        <w:tab/>
      </w:r>
      <w:r>
        <w:rPr>
          <w:rFonts w:ascii="Open Sans" w:hAnsi="Open Sans" w:eastAsia="Open Sans" w:cs="Open Sans"/>
          <w:color w:val="366091"/>
          <w:sz w:val="20"/>
          <w:szCs w:val="20"/>
        </w:rPr>
        <w:t xml:space="preserve"> </w:t>
      </w:r>
    </w:p>
    <w:sectPr>
      <w:pgSz w:w="11906" w:h="16838"/>
      <w:pgMar w:top="1417" w:right="1134" w:bottom="1134" w:left="1134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Open Sans">
    <w:altName w:val="Segoe UI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0" w:line="240" w:lineRule="auto"/>
        <w:jc w:val="both"/>
        <w:rPr>
          <w:rFonts w:ascii="Open Sans" w:hAnsi="Open Sans" w:eastAsia="Open Sans" w:cs="Open Sans"/>
          <w:color w:val="366091"/>
          <w:sz w:val="16"/>
          <w:szCs w:val="16"/>
        </w:rPr>
      </w:pPr>
      <w:r>
        <w:rPr>
          <w:vertAlign w:val="superscript"/>
        </w:rPr>
        <w:footnoteRef/>
      </w:r>
      <w:r>
        <w:rPr>
          <w:color w:val="366091"/>
          <w:sz w:val="20"/>
          <w:szCs w:val="20"/>
        </w:rPr>
        <w:t xml:space="preserve"> </w:t>
      </w:r>
      <w:r>
        <w:rPr>
          <w:rFonts w:ascii="Open Sans" w:hAnsi="Open Sans" w:eastAsia="Open Sans" w:cs="Open Sans"/>
          <w:color w:val="366091"/>
          <w:sz w:val="16"/>
          <w:szCs w:val="16"/>
        </w:rPr>
        <w:t>Ai sensi del Regolamento UE n. 1407/2013 del 18 dicembre 2013, si intende per “impresa unica” l’insieme delle imprese, all’interno dello stesso Stato, fra le quali esiste almeno una delle relazioni seguenti: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Open Sans" w:hAnsi="Open Sans" w:eastAsia="Open Sans" w:cs="Open Sans"/>
          <w:color w:val="366091"/>
          <w:sz w:val="16"/>
          <w:szCs w:val="16"/>
        </w:rPr>
      </w:pPr>
      <w:r>
        <w:rPr>
          <w:rFonts w:ascii="Open Sans" w:hAnsi="Open Sans" w:eastAsia="Open Sans" w:cs="Open Sans"/>
          <w:color w:val="366091"/>
          <w:sz w:val="16"/>
          <w:szCs w:val="16"/>
        </w:rPr>
        <w:t>a) un’impresa detiene la maggioranza dei diritti di voto degli azionisti o soci di un’altra impresa;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Open Sans" w:hAnsi="Open Sans" w:eastAsia="Open Sans" w:cs="Open Sans"/>
          <w:color w:val="366091"/>
          <w:sz w:val="16"/>
          <w:szCs w:val="16"/>
        </w:rPr>
      </w:pPr>
      <w:r>
        <w:rPr>
          <w:rFonts w:ascii="Open Sans" w:hAnsi="Open Sans" w:eastAsia="Open Sans" w:cs="Open Sans"/>
          <w:color w:val="366091"/>
          <w:sz w:val="16"/>
          <w:szCs w:val="16"/>
        </w:rPr>
        <w:t>b) un’impresa ha il diritto di nominare o revocare la maggioranza dei membri del consiglio di amministrazione, direzione o sorveglianza di un’altra impresa;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Open Sans" w:hAnsi="Open Sans" w:eastAsia="Open Sans" w:cs="Open Sans"/>
          <w:color w:val="366091"/>
          <w:sz w:val="16"/>
          <w:szCs w:val="16"/>
        </w:rPr>
      </w:pPr>
      <w:r>
        <w:rPr>
          <w:rFonts w:ascii="Open Sans" w:hAnsi="Open Sans" w:eastAsia="Open Sans" w:cs="Open Sans"/>
          <w:color w:val="366091"/>
          <w:sz w:val="16"/>
          <w:szCs w:val="16"/>
        </w:rPr>
        <w:t>c) un’impresa ha il diritto di esercitare un’influenza dominante su un’altra impresa in virtù di un contratto concluso con quest’ultima oppure in virtù di una clausola dello statuto di quest’ultima;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Open Sans" w:hAnsi="Open Sans" w:eastAsia="Open Sans" w:cs="Open Sans"/>
          <w:color w:val="366091"/>
          <w:sz w:val="16"/>
          <w:szCs w:val="16"/>
        </w:rPr>
      </w:pPr>
      <w:r>
        <w:rPr>
          <w:rFonts w:ascii="Open Sans" w:hAnsi="Open Sans" w:eastAsia="Open Sans" w:cs="Open Sans"/>
          <w:color w:val="366091"/>
          <w:sz w:val="16"/>
          <w:szCs w:val="16"/>
        </w:rPr>
        <w:t>d) un’impresa azionista o socia di un’altra impresa controlla da sola, in virtù di un accordo stipulato con altri azionisti o soci dell’altra impresa, la maggioranza dei diritti di voto degli azionisti o soci di quest’ultima.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Open Sans" w:hAnsi="Open Sans" w:eastAsia="Open Sans" w:cs="Open Sans"/>
          <w:color w:val="366091"/>
          <w:sz w:val="16"/>
          <w:szCs w:val="16"/>
        </w:rPr>
      </w:pPr>
      <w:r>
        <w:rPr>
          <w:rFonts w:ascii="Open Sans" w:hAnsi="Open Sans" w:eastAsia="Open Sans" w:cs="Open Sans"/>
          <w:color w:val="366091"/>
          <w:sz w:val="16"/>
          <w:szCs w:val="16"/>
        </w:rPr>
        <w:t>Le imprese fra le quali intercorre una delle relazioni di cui al precedente periodo, lettere da a) a d), per il tramite di una o più altre imprese sono anch’esse considerate un’impresa unica. Si escludono dal perimetro dell’impresa unica, le imprese collegate tra loro per il tramite di un organismo pubblico o di persone fisiche.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5039B"/>
    <w:multiLevelType w:val="multilevel"/>
    <w:tmpl w:val="1515039B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8193937"/>
    <w:multiLevelType w:val="multilevel"/>
    <w:tmpl w:val="4819393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AA41FD3"/>
    <w:multiLevelType w:val="multilevel"/>
    <w:tmpl w:val="5AA41FD3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978F1"/>
    <w:multiLevelType w:val="multilevel"/>
    <w:tmpl w:val="6D7978F1"/>
    <w:lvl w:ilvl="0" w:tentative="0">
      <w:start w:val="1"/>
      <w:numFmt w:val="bullet"/>
      <w:lvlText w:val="-"/>
      <w:lvlJc w:val="left"/>
      <w:pPr>
        <w:ind w:left="720" w:hanging="360"/>
      </w:pPr>
      <w:rPr>
        <w:rFonts w:ascii="Open Sans" w:hAnsi="Open Sans" w:eastAsia="Open Sans" w:cs="Open San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283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B3"/>
    <w:rsid w:val="00044D9C"/>
    <w:rsid w:val="000C229E"/>
    <w:rsid w:val="000F3881"/>
    <w:rsid w:val="00133A34"/>
    <w:rsid w:val="00152939"/>
    <w:rsid w:val="001A7383"/>
    <w:rsid w:val="001B5529"/>
    <w:rsid w:val="001B5CD9"/>
    <w:rsid w:val="001D4FF4"/>
    <w:rsid w:val="002A3A4C"/>
    <w:rsid w:val="002F0C4F"/>
    <w:rsid w:val="00323F68"/>
    <w:rsid w:val="00422960"/>
    <w:rsid w:val="004644CB"/>
    <w:rsid w:val="00492E7E"/>
    <w:rsid w:val="004A12F6"/>
    <w:rsid w:val="004B3FE5"/>
    <w:rsid w:val="004E19DF"/>
    <w:rsid w:val="004E1E76"/>
    <w:rsid w:val="0052431D"/>
    <w:rsid w:val="00531F59"/>
    <w:rsid w:val="00544F11"/>
    <w:rsid w:val="00551B33"/>
    <w:rsid w:val="00575581"/>
    <w:rsid w:val="005C2B90"/>
    <w:rsid w:val="005F4D4B"/>
    <w:rsid w:val="00784F46"/>
    <w:rsid w:val="00791899"/>
    <w:rsid w:val="007947DF"/>
    <w:rsid w:val="007E56D1"/>
    <w:rsid w:val="008010BF"/>
    <w:rsid w:val="00846031"/>
    <w:rsid w:val="0089376D"/>
    <w:rsid w:val="008A779E"/>
    <w:rsid w:val="008B4BC1"/>
    <w:rsid w:val="008C092A"/>
    <w:rsid w:val="008D6498"/>
    <w:rsid w:val="008E3C70"/>
    <w:rsid w:val="00917ED6"/>
    <w:rsid w:val="00922774"/>
    <w:rsid w:val="00934F6D"/>
    <w:rsid w:val="00962E35"/>
    <w:rsid w:val="00984997"/>
    <w:rsid w:val="00A216C4"/>
    <w:rsid w:val="00A57A22"/>
    <w:rsid w:val="00A80781"/>
    <w:rsid w:val="00AC5289"/>
    <w:rsid w:val="00AE2CA1"/>
    <w:rsid w:val="00B03CE4"/>
    <w:rsid w:val="00B06A98"/>
    <w:rsid w:val="00B35A8E"/>
    <w:rsid w:val="00B46FB3"/>
    <w:rsid w:val="00BC2451"/>
    <w:rsid w:val="00BE791A"/>
    <w:rsid w:val="00C96BAA"/>
    <w:rsid w:val="00CC3C31"/>
    <w:rsid w:val="00CF05FA"/>
    <w:rsid w:val="00D40840"/>
    <w:rsid w:val="00D53CC6"/>
    <w:rsid w:val="00D61425"/>
    <w:rsid w:val="00D61A0D"/>
    <w:rsid w:val="00E26D15"/>
    <w:rsid w:val="00E31F36"/>
    <w:rsid w:val="00E37E30"/>
    <w:rsid w:val="00E8075D"/>
    <w:rsid w:val="00E86396"/>
    <w:rsid w:val="00ED6223"/>
    <w:rsid w:val="00FA3EED"/>
    <w:rsid w:val="06CE00BA"/>
    <w:rsid w:val="2A17424F"/>
    <w:rsid w:val="4267610A"/>
    <w:rsid w:val="53A9759F"/>
    <w:rsid w:val="5954535F"/>
    <w:rsid w:val="71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it-IT" w:eastAsia="it-IT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3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31"/>
    <w:semiHidden/>
    <w:unhideWhenUsed/>
    <w:uiPriority w:val="99"/>
    <w:rPr>
      <w:b/>
      <w:bCs/>
    </w:rPr>
  </w:style>
  <w:style w:type="character" w:styleId="14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5">
    <w:name w:val="footnote text"/>
    <w:basedOn w:val="1"/>
    <w:link w:val="2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styleId="16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8">
    <w:name w:val="Strong"/>
    <w:basedOn w:val="8"/>
    <w:qFormat/>
    <w:uiPriority w:val="22"/>
    <w:rPr>
      <w:b/>
      <w:bCs/>
    </w:rPr>
  </w:style>
  <w:style w:type="paragraph" w:styleId="1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2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Testo nota a piè di pagina Carattere"/>
    <w:basedOn w:val="8"/>
    <w:link w:val="15"/>
    <w:semiHidden/>
    <w:qFormat/>
    <w:uiPriority w:val="99"/>
    <w:rPr>
      <w:sz w:val="20"/>
      <w:szCs w:val="20"/>
    </w:rPr>
  </w:style>
  <w:style w:type="character" w:customStyle="1" w:styleId="25">
    <w:name w:val="Testo fumetto Carattere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character" w:customStyle="1" w:styleId="27">
    <w:name w:val="Menzione non risolta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3"/>
    <w:basedOn w:val="23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9">
    <w:name w:val="_Style 24"/>
    <w:basedOn w:val="23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30">
    <w:name w:val="Testo commento Carattere"/>
    <w:basedOn w:val="8"/>
    <w:link w:val="12"/>
    <w:semiHidden/>
    <w:qFormat/>
    <w:uiPriority w:val="99"/>
    <w:rPr>
      <w:sz w:val="20"/>
      <w:szCs w:val="20"/>
    </w:rPr>
  </w:style>
  <w:style w:type="character" w:customStyle="1" w:styleId="31">
    <w:name w:val="Soggetto commento Carattere"/>
    <w:basedOn w:val="30"/>
    <w:link w:val="13"/>
    <w:semiHidden/>
    <w:qFormat/>
    <w:uiPriority w:val="99"/>
    <w:rPr>
      <w:b/>
      <w:bCs/>
      <w:sz w:val="20"/>
      <w:szCs w:val="20"/>
    </w:rPr>
  </w:style>
  <w:style w:type="character" w:customStyle="1" w:styleId="3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+eVJdncHWDntPV67t4RsvdjlLA==">AMUW2mXrz49uClmLvl8sxE/jVlsH7uvA5iGbbdBlRZz9UlkrxH+3V20uz3Fa6fKsgWy3jPLAOE2sEhcYdx7e9HnpzES4V8p8DlwonwDcfu7XJ9IEtrCGs4i+45VOKNnK0m5QY2thexG8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2784</Words>
  <Characters>15872</Characters>
  <Lines>132</Lines>
  <Paragraphs>37</Paragraphs>
  <TotalTime>8</TotalTime>
  <ScaleCrop>false</ScaleCrop>
  <LinksUpToDate>false</LinksUpToDate>
  <CharactersWithSpaces>18619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2023-02-01T13:39:00Z</dcterms:created>
  <dc:creator>mauriello</dc:creator>
  <cp:lastModifiedBy>EPZ0072</cp:lastModifiedBy>
  <dcterms:modified xsi:type="dcterms:W3CDTF">2023-02-16T14:29:57Z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4DBF253F238340F4A20FA81C2DD7BC29</vt:lpwstr>
  </property>
</Properties>
</file>